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15B9" w14:textId="65135E1C" w:rsidR="00E67A25" w:rsidRPr="00E9304D" w:rsidRDefault="00F9259B" w:rsidP="00397F4F">
      <w:pPr>
        <w:pBdr>
          <w:top w:val="nil"/>
          <w:left w:val="nil"/>
          <w:bottom w:val="nil"/>
          <w:right w:val="nil"/>
          <w:between w:val="nil"/>
        </w:pBdr>
        <w:ind w:left="2" w:hanging="4"/>
        <w:jc w:val="center"/>
        <w:rPr>
          <w:b/>
          <w:sz w:val="36"/>
          <w:lang w:val="tr-TR"/>
        </w:rPr>
      </w:pPr>
      <w:bookmarkStart w:id="0" w:name="OLE_LINK9"/>
      <w:r w:rsidRPr="00E9304D">
        <w:rPr>
          <w:b/>
          <w:sz w:val="36"/>
          <w:lang w:val="tr-TR"/>
        </w:rPr>
        <w:t>Garanti BBVA</w:t>
      </w:r>
      <w:r w:rsidR="007C3822" w:rsidRPr="00E9304D">
        <w:rPr>
          <w:b/>
          <w:sz w:val="36"/>
          <w:lang w:val="tr-TR"/>
        </w:rPr>
        <w:t>,</w:t>
      </w:r>
      <w:r w:rsidR="00923695" w:rsidRPr="00E9304D">
        <w:rPr>
          <w:b/>
          <w:sz w:val="36"/>
          <w:lang w:val="tr-TR"/>
        </w:rPr>
        <w:t xml:space="preserve"> 2022’nin ilk çeyreğinde </w:t>
      </w:r>
      <w:r w:rsidR="00E67A25" w:rsidRPr="00E9304D">
        <w:rPr>
          <w:b/>
          <w:sz w:val="36"/>
          <w:lang w:val="tr-TR"/>
        </w:rPr>
        <w:t xml:space="preserve">TL kredi büyümesinde </w:t>
      </w:r>
    </w:p>
    <w:p w14:paraId="045AF188" w14:textId="330E5168" w:rsidR="007D2CB7" w:rsidRPr="00E9304D" w:rsidRDefault="00923695" w:rsidP="00397F4F">
      <w:pPr>
        <w:pBdr>
          <w:top w:val="nil"/>
          <w:left w:val="nil"/>
          <w:bottom w:val="nil"/>
          <w:right w:val="nil"/>
          <w:between w:val="nil"/>
        </w:pBdr>
        <w:ind w:left="2" w:hanging="4"/>
        <w:jc w:val="center"/>
        <w:rPr>
          <w:b/>
          <w:sz w:val="36"/>
          <w:lang w:val="tr-TR"/>
        </w:rPr>
      </w:pPr>
      <w:r w:rsidRPr="00E9304D">
        <w:rPr>
          <w:b/>
          <w:sz w:val="36"/>
          <w:lang w:val="tr-TR"/>
        </w:rPr>
        <w:t>sektöre öncülük etti</w:t>
      </w:r>
      <w:r w:rsidR="007C3822" w:rsidRPr="00E9304D">
        <w:rPr>
          <w:b/>
          <w:sz w:val="36"/>
          <w:lang w:val="tr-TR"/>
        </w:rPr>
        <w:t>.</w:t>
      </w:r>
    </w:p>
    <w:bookmarkEnd w:id="0"/>
    <w:p w14:paraId="0057964A" w14:textId="43A07BCD" w:rsidR="007D2CB7" w:rsidRPr="00E9304D" w:rsidRDefault="007D2CB7" w:rsidP="00E67A25">
      <w:pPr>
        <w:ind w:firstLine="0"/>
        <w:rPr>
          <w:b/>
          <w:sz w:val="36"/>
          <w:szCs w:val="36"/>
          <w:lang w:val="tr-TR"/>
        </w:rPr>
      </w:pPr>
    </w:p>
    <w:p w14:paraId="3B2D4463" w14:textId="0BE87C0C" w:rsidR="007D2CB7" w:rsidRPr="00E9304D" w:rsidRDefault="00F9259B" w:rsidP="00397F4F">
      <w:pPr>
        <w:keepLines/>
        <w:shd w:val="clear" w:color="auto" w:fill="FFFFFF"/>
        <w:spacing w:before="120" w:after="120"/>
        <w:ind w:hanging="2"/>
        <w:jc w:val="both"/>
        <w:rPr>
          <w:sz w:val="24"/>
          <w:lang w:val="tr-TR"/>
        </w:rPr>
      </w:pPr>
      <w:r w:rsidRPr="00E9304D">
        <w:rPr>
          <w:b/>
          <w:sz w:val="24"/>
          <w:lang w:val="tr-TR"/>
        </w:rPr>
        <w:t>Türkiye Garanti Bankası A.Ş.,</w:t>
      </w:r>
      <w:r w:rsidRPr="00E9304D">
        <w:rPr>
          <w:sz w:val="24"/>
          <w:lang w:val="tr-TR"/>
        </w:rPr>
        <w:t xml:space="preserve"> 31 </w:t>
      </w:r>
      <w:r w:rsidR="00923695" w:rsidRPr="00E9304D">
        <w:rPr>
          <w:sz w:val="24"/>
          <w:lang w:val="tr-TR"/>
        </w:rPr>
        <w:t>Mart 2022</w:t>
      </w:r>
      <w:r w:rsidRPr="00E9304D">
        <w:rPr>
          <w:sz w:val="24"/>
          <w:lang w:val="tr-TR"/>
        </w:rPr>
        <w:t xml:space="preserve"> tarihli finansal tablolarını açıkladı. Banka’nın konsolide</w:t>
      </w:r>
      <w:r w:rsidR="00923695" w:rsidRPr="00E9304D">
        <w:rPr>
          <w:sz w:val="24"/>
          <w:lang w:val="tr-TR"/>
        </w:rPr>
        <w:t xml:space="preserve"> finansal tablolarına göre, 2022 yılının ilk çeyreğinde </w:t>
      </w:r>
      <w:r w:rsidRPr="00E9304D">
        <w:rPr>
          <w:b/>
          <w:sz w:val="24"/>
          <w:lang w:val="tr-TR"/>
        </w:rPr>
        <w:t>net kârı</w:t>
      </w:r>
      <w:r w:rsidR="002074F6">
        <w:rPr>
          <w:sz w:val="24"/>
          <w:lang w:val="tr-TR"/>
        </w:rPr>
        <w:t xml:space="preserve"> 8 milyar 262 milyon 614</w:t>
      </w:r>
      <w:r w:rsidRPr="00E9304D">
        <w:rPr>
          <w:sz w:val="24"/>
          <w:lang w:val="tr-TR"/>
        </w:rPr>
        <w:t xml:space="preserve"> bin TL</w:t>
      </w:r>
      <w:r w:rsidR="00923695" w:rsidRPr="00E9304D">
        <w:rPr>
          <w:sz w:val="24"/>
          <w:lang w:val="tr-TR"/>
        </w:rPr>
        <w:t>,</w:t>
      </w:r>
      <w:r w:rsidRPr="00E9304D">
        <w:rPr>
          <w:sz w:val="24"/>
          <w:lang w:val="tr-TR"/>
        </w:rPr>
        <w:t xml:space="preserve"> </w:t>
      </w:r>
      <w:r w:rsidRPr="00E9304D">
        <w:rPr>
          <w:b/>
          <w:sz w:val="24"/>
          <w:lang w:val="tr-TR"/>
        </w:rPr>
        <w:t>aktif büyüklüğü</w:t>
      </w:r>
      <w:r w:rsidR="00923695" w:rsidRPr="00E9304D">
        <w:rPr>
          <w:sz w:val="24"/>
          <w:lang w:val="tr-TR"/>
        </w:rPr>
        <w:t xml:space="preserve"> 953 milyar 347 milyon 155</w:t>
      </w:r>
      <w:r w:rsidRPr="00E9304D">
        <w:rPr>
          <w:sz w:val="24"/>
          <w:lang w:val="tr-TR"/>
        </w:rPr>
        <w:t xml:space="preserve"> bin TL seviyesinde gerçekleşirken, ekonomiye nakdi ve gayri nakdi </w:t>
      </w:r>
      <w:r w:rsidRPr="00E9304D">
        <w:rPr>
          <w:b/>
          <w:sz w:val="24"/>
          <w:lang w:val="tr-TR"/>
        </w:rPr>
        <w:t xml:space="preserve">krediler </w:t>
      </w:r>
      <w:r w:rsidRPr="00E9304D">
        <w:rPr>
          <w:sz w:val="24"/>
          <w:lang w:val="tr-TR"/>
        </w:rPr>
        <w:t>aracı</w:t>
      </w:r>
      <w:r w:rsidR="00923695" w:rsidRPr="00E9304D">
        <w:rPr>
          <w:sz w:val="24"/>
          <w:lang w:val="tr-TR"/>
        </w:rPr>
        <w:t xml:space="preserve">lığıyla sağladığı destek ise </w:t>
      </w:r>
      <w:bookmarkStart w:id="1" w:name="OLE_LINK1"/>
      <w:bookmarkStart w:id="2" w:name="OLE_LINK2"/>
      <w:r w:rsidR="00923695" w:rsidRPr="00E9304D">
        <w:rPr>
          <w:sz w:val="24"/>
          <w:lang w:val="tr-TR"/>
        </w:rPr>
        <w:t xml:space="preserve">712 milyar 12 </w:t>
      </w:r>
      <w:r w:rsidRPr="00E9304D">
        <w:rPr>
          <w:sz w:val="24"/>
          <w:lang w:val="tr-TR"/>
        </w:rPr>
        <w:t xml:space="preserve">milyon </w:t>
      </w:r>
      <w:r w:rsidR="00923695" w:rsidRPr="00E9304D">
        <w:rPr>
          <w:sz w:val="24"/>
          <w:lang w:val="tr-TR"/>
        </w:rPr>
        <w:t xml:space="preserve">529 </w:t>
      </w:r>
      <w:r w:rsidRPr="00E9304D">
        <w:rPr>
          <w:sz w:val="24"/>
          <w:lang w:val="tr-TR"/>
        </w:rPr>
        <w:t xml:space="preserve">bin TL </w:t>
      </w:r>
      <w:bookmarkEnd w:id="1"/>
      <w:bookmarkEnd w:id="2"/>
      <w:r w:rsidRPr="00E9304D">
        <w:rPr>
          <w:sz w:val="24"/>
          <w:lang w:val="tr-TR"/>
        </w:rPr>
        <w:t>oldu. Garanti BBVA’nın fonlama kaynakları içindeki en büyük ağırlığı mevduatlar oluşturmaya devam etti; aktiflerin %69’u mev</w:t>
      </w:r>
      <w:bookmarkStart w:id="3" w:name="_GoBack"/>
      <w:bookmarkEnd w:id="3"/>
      <w:r w:rsidRPr="00E9304D">
        <w:rPr>
          <w:sz w:val="24"/>
          <w:lang w:val="tr-TR"/>
        </w:rPr>
        <w:t xml:space="preserve">duatlar ile fonlanıyor. Mevduat tabanı </w:t>
      </w:r>
      <w:r w:rsidR="00923695" w:rsidRPr="00E9304D">
        <w:rPr>
          <w:sz w:val="24"/>
          <w:lang w:val="tr-TR"/>
        </w:rPr>
        <w:t>2022 ilk çeyreğinde</w:t>
      </w:r>
      <w:r w:rsidRPr="00E9304D">
        <w:rPr>
          <w:sz w:val="24"/>
          <w:lang w:val="tr-TR"/>
        </w:rPr>
        <w:t xml:space="preserve"> </w:t>
      </w:r>
      <w:r w:rsidR="0087368B">
        <w:rPr>
          <w:sz w:val="24"/>
          <w:lang w:val="tr-TR"/>
        </w:rPr>
        <w:t>%12 büyüme ile 651 milyar 582</w:t>
      </w:r>
      <w:r w:rsidRPr="00E9304D">
        <w:rPr>
          <w:sz w:val="24"/>
          <w:lang w:val="tr-TR"/>
        </w:rPr>
        <w:t xml:space="preserve"> milyon </w:t>
      </w:r>
      <w:r w:rsidR="0087368B">
        <w:rPr>
          <w:sz w:val="24"/>
          <w:lang w:val="tr-TR"/>
        </w:rPr>
        <w:t>488</w:t>
      </w:r>
      <w:r w:rsidR="00923695" w:rsidRPr="00E9304D">
        <w:rPr>
          <w:sz w:val="24"/>
          <w:lang w:val="tr-TR"/>
        </w:rPr>
        <w:t xml:space="preserve"> </w:t>
      </w:r>
      <w:r w:rsidRPr="00E9304D">
        <w:rPr>
          <w:sz w:val="24"/>
          <w:lang w:val="tr-TR"/>
        </w:rPr>
        <w:t>bin TL oldu. Güçlü sermaye odağını koruyan Banka</w:t>
      </w:r>
      <w:r w:rsidR="00E67A25" w:rsidRPr="00E9304D">
        <w:rPr>
          <w:sz w:val="24"/>
          <w:lang w:val="tr-TR"/>
        </w:rPr>
        <w:t>’</w:t>
      </w:r>
      <w:r w:rsidRPr="00E9304D">
        <w:rPr>
          <w:sz w:val="24"/>
          <w:lang w:val="tr-TR"/>
        </w:rPr>
        <w:t xml:space="preserve">nın </w:t>
      </w:r>
      <w:r w:rsidRPr="00E9304D">
        <w:rPr>
          <w:b/>
          <w:sz w:val="24"/>
          <w:lang w:val="tr-TR"/>
        </w:rPr>
        <w:t>sermaye yeterlilik oranı</w:t>
      </w:r>
      <w:r w:rsidRPr="00E9304D">
        <w:rPr>
          <w:sz w:val="24"/>
          <w:lang w:val="tr-TR"/>
        </w:rPr>
        <w:t xml:space="preserve"> </w:t>
      </w:r>
      <w:r w:rsidR="00CA74E3" w:rsidRPr="00E9304D">
        <w:rPr>
          <w:sz w:val="24"/>
          <w:lang w:val="tr-TR"/>
        </w:rPr>
        <w:t>%14</w:t>
      </w:r>
      <w:r w:rsidR="0087368B">
        <w:rPr>
          <w:sz w:val="24"/>
          <w:lang w:val="tr-TR"/>
        </w:rPr>
        <w:t>,8</w:t>
      </w:r>
      <w:r w:rsidRPr="00E9304D">
        <w:rPr>
          <w:sz w:val="24"/>
          <w:vertAlign w:val="superscript"/>
          <w:lang w:val="tr-TR"/>
        </w:rPr>
        <w:t>*</w:t>
      </w:r>
      <w:r w:rsidRPr="00E9304D">
        <w:rPr>
          <w:sz w:val="24"/>
          <w:lang w:val="tr-TR"/>
        </w:rPr>
        <w:t xml:space="preserve">, </w:t>
      </w:r>
      <w:r w:rsidRPr="00E9304D">
        <w:rPr>
          <w:b/>
          <w:sz w:val="24"/>
          <w:lang w:val="tr-TR"/>
        </w:rPr>
        <w:t>özkaynak kârlılığı</w:t>
      </w:r>
      <w:r w:rsidR="00597652">
        <w:rPr>
          <w:sz w:val="24"/>
          <w:lang w:val="tr-TR"/>
        </w:rPr>
        <w:t xml:space="preserve"> %37,5</w:t>
      </w:r>
      <w:r w:rsidRPr="00E9304D">
        <w:rPr>
          <w:sz w:val="24"/>
          <w:vertAlign w:val="superscript"/>
          <w:lang w:val="tr-TR"/>
        </w:rPr>
        <w:t>**</w:t>
      </w:r>
      <w:r w:rsidRPr="00E9304D">
        <w:rPr>
          <w:sz w:val="24"/>
          <w:lang w:val="tr-TR"/>
        </w:rPr>
        <w:t xml:space="preserve"> , </w:t>
      </w:r>
      <w:r w:rsidRPr="00E9304D">
        <w:rPr>
          <w:b/>
          <w:sz w:val="24"/>
          <w:lang w:val="tr-TR"/>
        </w:rPr>
        <w:t>aktif kârlılığı</w:t>
      </w:r>
      <w:r w:rsidR="00923695" w:rsidRPr="00E9304D">
        <w:rPr>
          <w:sz w:val="24"/>
          <w:lang w:val="tr-TR"/>
        </w:rPr>
        <w:t xml:space="preserve"> ise %3,7</w:t>
      </w:r>
      <w:r w:rsidRPr="00E9304D">
        <w:rPr>
          <w:sz w:val="24"/>
          <w:vertAlign w:val="superscript"/>
          <w:lang w:val="tr-TR"/>
        </w:rPr>
        <w:t>**</w:t>
      </w:r>
      <w:r w:rsidRPr="00E9304D">
        <w:rPr>
          <w:sz w:val="24"/>
          <w:lang w:val="tr-TR"/>
        </w:rPr>
        <w:t xml:space="preserve"> seviyelerinde gerçekleşti. </w:t>
      </w:r>
    </w:p>
    <w:p w14:paraId="52A569F3" w14:textId="77777777" w:rsidR="007D2CB7" w:rsidRPr="00E9304D" w:rsidRDefault="00F9259B">
      <w:pPr>
        <w:keepNext/>
        <w:keepLines/>
        <w:spacing w:before="80" w:after="80"/>
        <w:ind w:right="-52"/>
        <w:rPr>
          <w:rFonts w:ascii="Arial" w:eastAsia="Arial" w:hAnsi="Arial"/>
          <w:sz w:val="14"/>
          <w:lang w:val="tr-TR"/>
        </w:rPr>
      </w:pPr>
      <w:r w:rsidRPr="00E9304D">
        <w:rPr>
          <w:rFonts w:ascii="Arial" w:eastAsia="Arial" w:hAnsi="Arial"/>
          <w:i/>
          <w:sz w:val="14"/>
          <w:lang w:val="tr-TR"/>
        </w:rPr>
        <w:t xml:space="preserve">* BDDK’nın geçici önlemleri hariç </w:t>
      </w:r>
    </w:p>
    <w:p w14:paraId="2EDE6B4A" w14:textId="77777777" w:rsidR="007D2CB7" w:rsidRPr="00E9304D" w:rsidRDefault="00F9259B">
      <w:pPr>
        <w:keepNext/>
        <w:keepLines/>
        <w:spacing w:before="80" w:after="80"/>
        <w:ind w:right="-52"/>
        <w:rPr>
          <w:rFonts w:ascii="Arial" w:eastAsia="Arial" w:hAnsi="Arial"/>
          <w:i/>
          <w:sz w:val="14"/>
          <w:lang w:val="tr-TR"/>
        </w:rPr>
      </w:pPr>
      <w:r w:rsidRPr="00E9304D">
        <w:rPr>
          <w:rFonts w:ascii="Arial" w:eastAsia="Arial" w:hAnsi="Arial"/>
          <w:i/>
          <w:sz w:val="14"/>
          <w:lang w:val="tr-TR"/>
        </w:rPr>
        <w:t>**Ortalama aktif kârlılığı ve ortalama sermaye kârlılığı hesaplamalarında net kâr yıllıklandırılırken tek seferlik kalemler dahil edilmemiştir</w:t>
      </w:r>
    </w:p>
    <w:p w14:paraId="25C6D1D2" w14:textId="77777777" w:rsidR="007D2CB7" w:rsidRPr="00E9304D" w:rsidRDefault="007D2CB7">
      <w:pPr>
        <w:keepNext/>
        <w:keepLines/>
        <w:spacing w:before="80" w:after="80"/>
        <w:ind w:right="-52"/>
        <w:rPr>
          <w:rFonts w:ascii="Arial" w:eastAsia="Arial" w:hAnsi="Arial"/>
          <w:sz w:val="14"/>
          <w:lang w:val="tr-TR"/>
        </w:rPr>
      </w:pPr>
    </w:p>
    <w:p w14:paraId="5A32C47A" w14:textId="5386EBEC" w:rsidR="00E9304D" w:rsidRPr="00E9304D" w:rsidRDefault="00E9304D" w:rsidP="00E9304D">
      <w:pPr>
        <w:ind w:hanging="2"/>
        <w:rPr>
          <w:sz w:val="24"/>
          <w:szCs w:val="24"/>
          <w:lang w:val="tr-TR"/>
        </w:rPr>
      </w:pPr>
      <w:bookmarkStart w:id="4" w:name="_3znysh7" w:colFirst="0" w:colLast="0"/>
      <w:bookmarkEnd w:id="4"/>
      <w:r w:rsidRPr="00E9304D">
        <w:rPr>
          <w:sz w:val="24"/>
          <w:szCs w:val="24"/>
          <w:lang w:val="tr-TR"/>
        </w:rPr>
        <w:t xml:space="preserve">Konuyla ilgili bilgi veren </w:t>
      </w:r>
      <w:r w:rsidRPr="00E9304D">
        <w:rPr>
          <w:b/>
          <w:bCs/>
          <w:sz w:val="24"/>
          <w:szCs w:val="24"/>
          <w:lang w:val="tr-TR"/>
        </w:rPr>
        <w:t>Garanti BBVA Genel Müdürü Recep Baştuğ</w:t>
      </w:r>
      <w:r w:rsidRPr="00E9304D">
        <w:rPr>
          <w:sz w:val="24"/>
          <w:szCs w:val="24"/>
          <w:lang w:val="tr-TR"/>
        </w:rPr>
        <w:t>; “</w:t>
      </w:r>
      <w:bookmarkStart w:id="5" w:name="OLE_LINK7"/>
      <w:bookmarkStart w:id="6" w:name="OLE_LINK6"/>
      <w:r w:rsidRPr="00E9304D">
        <w:rPr>
          <w:sz w:val="24"/>
          <w:szCs w:val="24"/>
          <w:lang w:val="tr-TR"/>
        </w:rPr>
        <w:t>Global ve yerel ekonomide belirsizliklerin ve risklerin arttığı zorlu bir dönemden geçiyoruz. Bu ortamda hem Türkiye bankacılık sektörü hem de Garanti BBVA dayanıklılığını kanıtlamaya devam etti. Ekonominin sağlıklı bir zemin üzerinde büyümesi için finans sektörü çok kritik bir rol üstleniyor.</w:t>
      </w:r>
      <w:r w:rsidR="00E87785">
        <w:rPr>
          <w:sz w:val="24"/>
          <w:szCs w:val="24"/>
          <w:lang w:val="tr-TR"/>
        </w:rPr>
        <w:t>”</w:t>
      </w:r>
      <w:r w:rsidRPr="00E9304D">
        <w:rPr>
          <w:sz w:val="24"/>
          <w:szCs w:val="24"/>
          <w:lang w:val="tr-TR"/>
        </w:rPr>
        <w:t xml:space="preserve"> </w:t>
      </w:r>
    </w:p>
    <w:bookmarkEnd w:id="5"/>
    <w:bookmarkEnd w:id="6"/>
    <w:p w14:paraId="68A87092" w14:textId="77777777" w:rsidR="00E9304D" w:rsidRPr="00E9304D" w:rsidRDefault="00E9304D" w:rsidP="00E9304D">
      <w:pPr>
        <w:ind w:firstLine="0"/>
        <w:rPr>
          <w:sz w:val="24"/>
          <w:szCs w:val="24"/>
          <w:lang w:val="tr-TR"/>
        </w:rPr>
      </w:pPr>
    </w:p>
    <w:p w14:paraId="20F376F2" w14:textId="23E099C3" w:rsidR="00E9304D" w:rsidRPr="00E9304D" w:rsidRDefault="00E87785" w:rsidP="00E9304D">
      <w:pPr>
        <w:ind w:hanging="2"/>
        <w:rPr>
          <w:sz w:val="24"/>
          <w:szCs w:val="24"/>
          <w:lang w:val="tr-TR"/>
        </w:rPr>
      </w:pPr>
      <w:bookmarkStart w:id="7" w:name="OLE_LINK8"/>
      <w:bookmarkStart w:id="8" w:name="OLE_LINK10"/>
      <w:bookmarkStart w:id="9" w:name="OLE_LINK11"/>
      <w:r>
        <w:rPr>
          <w:sz w:val="24"/>
          <w:szCs w:val="24"/>
          <w:lang w:val="tr-TR"/>
        </w:rPr>
        <w:t>“</w:t>
      </w:r>
      <w:r w:rsidR="00E9304D" w:rsidRPr="00E9304D">
        <w:rPr>
          <w:sz w:val="24"/>
          <w:szCs w:val="24"/>
          <w:lang w:val="tr-TR"/>
        </w:rPr>
        <w:t xml:space="preserve">Türkiye ekonomisine sektörün üzerinde destek vererek çeyrek içinde TL kredilerimizi %17 büyüme ile 309 milyar TL’ye ulaştırdık. Hem TL hem de yabancı para kredilerde sektörden Pazar payı kazandığımız bir çeyrek oldu. Özel bankalar arasında tüketici kredilerinde lider konumdayız*. Aynı zamanda toplam işyeri cirosu ve toplam kredi kartı cirosunda en yüksek Pazar payı bize ait. Sürdürülebilir büyümemizin gücünü etkin aktif-pasif yönetiminden ve sağlam sermaye yapımızdan alıyoruz. </w:t>
      </w:r>
      <w:bookmarkEnd w:id="7"/>
      <w:r w:rsidR="00E9304D" w:rsidRPr="00E9304D">
        <w:rPr>
          <w:sz w:val="24"/>
          <w:szCs w:val="24"/>
          <w:lang w:val="tr-TR"/>
        </w:rPr>
        <w:t>2022’nin ilk çeyreğini oldukça güçlü bir finansal performans ve yarım milyonu aşan net müşteri artışı ile tamamladık.</w:t>
      </w:r>
      <w:r w:rsidR="00E9304D">
        <w:rPr>
          <w:sz w:val="24"/>
          <w:szCs w:val="24"/>
          <w:lang w:val="tr-TR"/>
        </w:rPr>
        <w:t>”</w:t>
      </w:r>
    </w:p>
    <w:bookmarkEnd w:id="8"/>
    <w:bookmarkEnd w:id="9"/>
    <w:p w14:paraId="3726D697" w14:textId="77777777" w:rsidR="00E9304D" w:rsidRPr="00E9304D" w:rsidRDefault="00E9304D" w:rsidP="00E9304D">
      <w:pPr>
        <w:ind w:hanging="2"/>
        <w:rPr>
          <w:sz w:val="24"/>
          <w:szCs w:val="24"/>
          <w:lang w:val="tr-TR"/>
        </w:rPr>
      </w:pPr>
    </w:p>
    <w:p w14:paraId="68032CEE" w14:textId="77777777" w:rsidR="00E9304D" w:rsidRPr="00E9304D" w:rsidRDefault="00E9304D" w:rsidP="00E9304D">
      <w:pPr>
        <w:ind w:hanging="2"/>
        <w:rPr>
          <w:sz w:val="24"/>
          <w:szCs w:val="24"/>
          <w:lang w:val="tr-TR"/>
        </w:rPr>
      </w:pPr>
      <w:bookmarkStart w:id="10" w:name="OLE_LINK36"/>
      <w:bookmarkStart w:id="11" w:name="OLE_LINK35"/>
      <w:r w:rsidRPr="00E9304D">
        <w:rPr>
          <w:sz w:val="24"/>
          <w:szCs w:val="24"/>
          <w:lang w:val="tr-TR"/>
        </w:rPr>
        <w:t>Recep Baştuğ sözlerini şöyle sürdürdü: “</w:t>
      </w:r>
      <w:bookmarkStart w:id="12" w:name="OLE_LINK12"/>
      <w:bookmarkStart w:id="13" w:name="OLE_LINK13"/>
      <w:bookmarkEnd w:id="10"/>
      <w:bookmarkEnd w:id="11"/>
      <w:r w:rsidRPr="00E9304D">
        <w:rPr>
          <w:sz w:val="24"/>
          <w:szCs w:val="24"/>
          <w:lang w:val="tr-TR"/>
        </w:rPr>
        <w:t>Teknolojiye yaptığımız sürekli ve kesintisiz yatırımlarla, tüm kanallarda kolay, erişilebilir ve kişiye özel bankacılık işlem ve hizmetlerini içeren tam kapsamlı, bütünleşik bir bankacılık platformu sunmak amacıyla çalışıyoruz. Bu kapsamda müşterilerimizin ihtiyaçlarını dinlemeyi ve bunlara en kısa sürede cevap vermeyi hedefliyoruz. Her türlü iş süreçlerine entegre edilebilen yapay zeka ve makine öğrenmesi, müşterilerimiz için daha akıllı, farklılaşan ve kişiselleşen tecrübeler sunabilmemize imkan sağlıyor.</w:t>
      </w:r>
    </w:p>
    <w:bookmarkEnd w:id="12"/>
    <w:bookmarkEnd w:id="13"/>
    <w:p w14:paraId="5CDF8AA3" w14:textId="77777777" w:rsidR="00E9304D" w:rsidRPr="00E9304D" w:rsidRDefault="00E9304D" w:rsidP="00E9304D">
      <w:pPr>
        <w:ind w:hanging="2"/>
        <w:rPr>
          <w:sz w:val="24"/>
          <w:szCs w:val="24"/>
          <w:lang w:val="tr-TR"/>
        </w:rPr>
      </w:pPr>
    </w:p>
    <w:p w14:paraId="06D689CD" w14:textId="77777777" w:rsidR="00E9304D" w:rsidRPr="00E9304D" w:rsidRDefault="00E9304D" w:rsidP="00E9304D">
      <w:pPr>
        <w:ind w:hanging="2"/>
        <w:rPr>
          <w:sz w:val="24"/>
          <w:szCs w:val="24"/>
          <w:lang w:val="tr-TR"/>
        </w:rPr>
      </w:pPr>
      <w:bookmarkStart w:id="14" w:name="OLE_LINK14"/>
      <w:r w:rsidRPr="00E9304D">
        <w:rPr>
          <w:sz w:val="24"/>
          <w:szCs w:val="24"/>
          <w:lang w:val="tr-TR"/>
        </w:rPr>
        <w:t>Garanti BBVA Mobil uygulamasında hayata geçirdiğimiz Finansal Sağlık kapsamında, müşterilerimizin finansal durumlarını daha iyi takip ederek beklenmedik durumlara karşı hazır olabilmelerini sağlıyoruz. Ayrıca bugünü planlamanın yanı sıra, gelecek için birikim yapma kabiliyeti kazanarak finansal planlama yeteneklerini geliştirebilmeleri için onlara özel iç görüler sunuyoruz. Müşterilerimizin finansal sağlığını iyileştirmek için ihtiyaç duyulan noktalarda öneri mekanizmaları geliştiriyor, başarıya ulaştıklarında da motivasyonlarını sürdürülebilir hale getirebilmeleri için yeni öneriler ve planlar oluşturuyoruz.</w:t>
      </w:r>
    </w:p>
    <w:bookmarkEnd w:id="14"/>
    <w:p w14:paraId="6F71373D" w14:textId="77777777" w:rsidR="00E9304D" w:rsidRPr="00E9304D" w:rsidRDefault="00E9304D" w:rsidP="00E9304D">
      <w:pPr>
        <w:ind w:hanging="2"/>
        <w:rPr>
          <w:sz w:val="24"/>
          <w:szCs w:val="24"/>
          <w:lang w:val="tr-TR"/>
        </w:rPr>
      </w:pPr>
    </w:p>
    <w:p w14:paraId="65612115" w14:textId="77777777" w:rsidR="00E9304D" w:rsidRPr="00E9304D" w:rsidRDefault="00E9304D" w:rsidP="00E9304D">
      <w:pPr>
        <w:ind w:hanging="2"/>
        <w:rPr>
          <w:sz w:val="24"/>
          <w:szCs w:val="24"/>
          <w:lang w:val="tr-TR"/>
        </w:rPr>
      </w:pPr>
      <w:bookmarkStart w:id="15" w:name="OLE_LINK15"/>
      <w:bookmarkStart w:id="16" w:name="OLE_LINK16"/>
      <w:r w:rsidRPr="00E9304D">
        <w:rPr>
          <w:sz w:val="24"/>
          <w:szCs w:val="24"/>
          <w:lang w:val="tr-TR"/>
        </w:rPr>
        <w:t xml:space="preserve">Finans sektörü olarak bireylere ve topluma sağlayabileceğimiz fayda, yalnızca müşterilerin finansal ihtiyaçları ve durumları ile de sınırlı değil. Sürdürülebilirlik uygulamalarının, sektörün en önemli değer yaratma mekanizmalarından biri olduğunu düşünüyorum. “Dünyaya iyi </w:t>
      </w:r>
      <w:r w:rsidRPr="00E9304D">
        <w:rPr>
          <w:sz w:val="24"/>
          <w:szCs w:val="24"/>
          <w:lang w:val="tr-TR"/>
        </w:rPr>
        <w:lastRenderedPageBreak/>
        <w:t xml:space="preserve">bakıyoruz, geleceğe iyi bakıyoruz” mottomuzla, yenilikçi finansman modellerimizle ülkemizin yeşil dönüşümünde öncü bir rol üstleniyoruz. Bu konuda net hedeflerimiz ve taahhütlerimiz var. </w:t>
      </w:r>
    </w:p>
    <w:p w14:paraId="5A3F21A2" w14:textId="77777777" w:rsidR="00E9304D" w:rsidRPr="00E9304D" w:rsidRDefault="00E9304D" w:rsidP="00E9304D">
      <w:pPr>
        <w:ind w:hanging="2"/>
        <w:rPr>
          <w:sz w:val="24"/>
          <w:szCs w:val="24"/>
          <w:lang w:val="tr-TR"/>
        </w:rPr>
      </w:pPr>
      <w:r w:rsidRPr="00E9304D">
        <w:rPr>
          <w:sz w:val="24"/>
          <w:szCs w:val="24"/>
          <w:lang w:val="tr-TR"/>
        </w:rPr>
        <w:t>2014 yılından beri proje finansmanı kapsamında enerji sektöründe yalnızca yenilenebilir projeleri finanse ediyoruz. Geçtiğimiz yıl kömürü finanse etmeme kararı aldık ve 2040’a kadar portföyümüzdeki kömür riskini sıfırlayacağız. Üst üste 7. kez Dow Jones Sürdürülebilirlik Endeksi’nde (DJSI) Gelişmekte olan Piyasalar kategorisinde (DJSI – Dow Jones Sustainability Index Emerging Markets) yer alan Türkiye’den tek şirket olduk. Çevresel, sosyal ve yönetişim kriterlerini iş modellerimize entegre ediyor ve sürdürülebilir kalkınma hedeflerine önemli katkı sağlıyoruz.</w:t>
      </w:r>
    </w:p>
    <w:bookmarkEnd w:id="15"/>
    <w:bookmarkEnd w:id="16"/>
    <w:p w14:paraId="42FA191F" w14:textId="77777777" w:rsidR="00E9304D" w:rsidRPr="00E9304D" w:rsidRDefault="00E9304D" w:rsidP="00E9304D">
      <w:pPr>
        <w:ind w:firstLine="0"/>
        <w:rPr>
          <w:sz w:val="24"/>
          <w:szCs w:val="24"/>
          <w:lang w:val="tr-TR"/>
        </w:rPr>
      </w:pPr>
    </w:p>
    <w:p w14:paraId="0FA288DD" w14:textId="77777777" w:rsidR="00E9304D" w:rsidRPr="00E9304D" w:rsidRDefault="00E9304D" w:rsidP="00E9304D">
      <w:pPr>
        <w:rPr>
          <w:sz w:val="24"/>
          <w:szCs w:val="24"/>
          <w:lang w:val="tr-TR"/>
        </w:rPr>
      </w:pPr>
      <w:r w:rsidRPr="00E9304D">
        <w:rPr>
          <w:sz w:val="24"/>
          <w:szCs w:val="24"/>
          <w:lang w:val="tr-TR"/>
        </w:rPr>
        <w:t>Garanti BBVA olarak, sadece ekonomide yarattığımız etkiyi değil; çevreye, sosyal hayata ve teknolojiye kattığımız değeri de önemsiyor ve bu bilinçle hareket ediyoruz. Bu süreçte çok büyük emek ve katkısı olan çalışma arkadaşlarım ile birlikte bize bu yolculukta iştirak eden, bizi destekleyen ve güvenen, başta müşterilerimiz olmak üzere tüm paydaşlarımıza teşekkür ederim.”</w:t>
      </w:r>
    </w:p>
    <w:p w14:paraId="69694E84" w14:textId="77777777" w:rsidR="00E9304D" w:rsidRPr="00E9304D" w:rsidRDefault="00E9304D" w:rsidP="00E9304D">
      <w:pPr>
        <w:rPr>
          <w:sz w:val="24"/>
          <w:szCs w:val="24"/>
          <w:lang w:val="tr-TR"/>
        </w:rPr>
      </w:pPr>
    </w:p>
    <w:p w14:paraId="64D55677" w14:textId="56621EB1" w:rsidR="007D2CB7" w:rsidRPr="00E9304D" w:rsidRDefault="00E9304D" w:rsidP="00E9304D">
      <w:pPr>
        <w:rPr>
          <w:sz w:val="20"/>
          <w:szCs w:val="20"/>
          <w:lang w:val="tr-TR"/>
        </w:rPr>
      </w:pPr>
      <w:r w:rsidRPr="00E9304D">
        <w:rPr>
          <w:sz w:val="20"/>
          <w:szCs w:val="20"/>
          <w:lang w:val="tr-TR"/>
        </w:rPr>
        <w:t>*31 Aralık 2021 BDDK finansallarına göre.</w:t>
      </w:r>
    </w:p>
    <w:p w14:paraId="67630485" w14:textId="77777777" w:rsidR="007D2CB7" w:rsidRPr="00E9304D" w:rsidRDefault="007D2CB7">
      <w:pPr>
        <w:ind w:firstLine="0"/>
        <w:rPr>
          <w:sz w:val="24"/>
          <w:lang w:val="tr-TR"/>
        </w:rPr>
      </w:pPr>
    </w:p>
    <w:p w14:paraId="5CB154BB" w14:textId="046BF087" w:rsidR="007D2CB7" w:rsidRPr="00E9304D" w:rsidRDefault="00F9259B">
      <w:pPr>
        <w:ind w:hanging="2"/>
        <w:jc w:val="center"/>
        <w:rPr>
          <w:sz w:val="24"/>
          <w:lang w:val="tr-TR"/>
        </w:rPr>
      </w:pPr>
      <w:r w:rsidRPr="00E9304D">
        <w:rPr>
          <w:b/>
          <w:sz w:val="24"/>
          <w:lang w:val="tr-TR"/>
        </w:rPr>
        <w:t>Garanti BBVA’nın Seçilmiş K</w:t>
      </w:r>
      <w:r w:rsidR="0079617A" w:rsidRPr="00E9304D">
        <w:rPr>
          <w:b/>
          <w:sz w:val="24"/>
          <w:lang w:val="tr-TR"/>
        </w:rPr>
        <w:t xml:space="preserve">onsolide Finansal Göstergeleri - </w:t>
      </w:r>
      <w:r w:rsidRPr="00E9304D">
        <w:rPr>
          <w:b/>
          <w:sz w:val="24"/>
          <w:lang w:val="tr-TR"/>
        </w:rPr>
        <w:t xml:space="preserve">31 </w:t>
      </w:r>
      <w:r w:rsidR="00923695" w:rsidRPr="00E9304D">
        <w:rPr>
          <w:b/>
          <w:sz w:val="24"/>
          <w:lang w:val="tr-TR"/>
        </w:rPr>
        <w:t>Mart 2022</w:t>
      </w:r>
    </w:p>
    <w:p w14:paraId="1A0C71C9" w14:textId="77777777" w:rsidR="007D2CB7" w:rsidRPr="00E9304D" w:rsidRDefault="007D2CB7">
      <w:pPr>
        <w:ind w:hanging="2"/>
        <w:jc w:val="both"/>
        <w:rPr>
          <w:sz w:val="24"/>
          <w:highlight w:val="lightGray"/>
          <w:lang w:val="tr-TR"/>
        </w:rPr>
      </w:pPr>
    </w:p>
    <w:tbl>
      <w:tblPr>
        <w:tblW w:w="9807" w:type="dxa"/>
        <w:tblLook w:val="04A0" w:firstRow="1" w:lastRow="0" w:firstColumn="1" w:lastColumn="0" w:noHBand="0" w:noVBand="1"/>
      </w:tblPr>
      <w:tblGrid>
        <w:gridCol w:w="4840"/>
        <w:gridCol w:w="2246"/>
        <w:gridCol w:w="1630"/>
        <w:gridCol w:w="1091"/>
      </w:tblGrid>
      <w:tr w:rsidR="002074F6" w:rsidRPr="006961D2" w14:paraId="271230A8" w14:textId="77777777" w:rsidTr="00C10467">
        <w:trPr>
          <w:trHeight w:val="503"/>
        </w:trPr>
        <w:tc>
          <w:tcPr>
            <w:tcW w:w="4840" w:type="dxa"/>
            <w:tcBorders>
              <w:top w:val="single" w:sz="4" w:space="0" w:color="auto"/>
              <w:left w:val="single" w:sz="4" w:space="0" w:color="auto"/>
              <w:bottom w:val="double" w:sz="6" w:space="0" w:color="auto"/>
              <w:right w:val="nil"/>
            </w:tcBorders>
            <w:shd w:val="clear" w:color="auto" w:fill="auto"/>
            <w:noWrap/>
            <w:vAlign w:val="center"/>
            <w:hideMark/>
          </w:tcPr>
          <w:p w14:paraId="59955ABE" w14:textId="77777777" w:rsidR="002074F6" w:rsidRPr="006961D2" w:rsidRDefault="002074F6" w:rsidP="00C10467">
            <w:pPr>
              <w:keepNext/>
              <w:keepLines/>
              <w:spacing w:before="80" w:after="80" w:line="250" w:lineRule="exact"/>
              <w:ind w:right="-52"/>
              <w:outlineLvl w:val="0"/>
              <w:rPr>
                <w:rFonts w:ascii="Arial" w:hAnsi="Arial" w:cs="Arial"/>
                <w:b/>
                <w:bCs/>
                <w:color w:val="000000"/>
                <w:sz w:val="20"/>
                <w:lang w:val="tr-TR"/>
              </w:rPr>
            </w:pPr>
            <w:r w:rsidRPr="006961D2">
              <w:rPr>
                <w:b/>
                <w:bCs/>
                <w:sz w:val="20"/>
                <w:szCs w:val="24"/>
                <w:lang w:val="tr-TR"/>
              </w:rPr>
              <w:t>Başlıca Bilanço Kalemleri</w:t>
            </w:r>
          </w:p>
        </w:tc>
        <w:tc>
          <w:tcPr>
            <w:tcW w:w="2246" w:type="dxa"/>
            <w:tcBorders>
              <w:top w:val="single" w:sz="4" w:space="0" w:color="auto"/>
              <w:left w:val="nil"/>
              <w:bottom w:val="double" w:sz="6" w:space="0" w:color="auto"/>
              <w:right w:val="nil"/>
            </w:tcBorders>
            <w:shd w:val="clear" w:color="auto" w:fill="auto"/>
            <w:vAlign w:val="center"/>
            <w:hideMark/>
          </w:tcPr>
          <w:p w14:paraId="51C71E43" w14:textId="77777777" w:rsidR="002074F6" w:rsidRPr="006961D2" w:rsidRDefault="002074F6" w:rsidP="00C10467">
            <w:pPr>
              <w:keepNext/>
              <w:keepLines/>
              <w:spacing w:before="80" w:after="80" w:line="250" w:lineRule="exact"/>
              <w:ind w:right="-52"/>
              <w:jc w:val="right"/>
              <w:outlineLvl w:val="0"/>
              <w:rPr>
                <w:rFonts w:ascii="Arial" w:hAnsi="Arial" w:cs="Arial"/>
                <w:b/>
                <w:bCs/>
                <w:color w:val="000000"/>
                <w:sz w:val="20"/>
                <w:lang w:val="tr-TR"/>
              </w:rPr>
            </w:pPr>
            <w:r w:rsidRPr="006961D2">
              <w:rPr>
                <w:b/>
                <w:bCs/>
                <w:sz w:val="20"/>
                <w:szCs w:val="24"/>
                <w:lang w:val="tr-TR"/>
              </w:rPr>
              <w:t>Cari Dönem</w:t>
            </w:r>
            <w:r w:rsidRPr="006961D2">
              <w:rPr>
                <w:b/>
                <w:bCs/>
                <w:sz w:val="20"/>
                <w:szCs w:val="24"/>
                <w:lang w:val="tr-TR"/>
              </w:rPr>
              <w:br/>
              <w:t>31.03.202</w:t>
            </w:r>
            <w:r>
              <w:rPr>
                <w:b/>
                <w:bCs/>
                <w:sz w:val="20"/>
                <w:szCs w:val="24"/>
                <w:lang w:val="tr-TR"/>
              </w:rPr>
              <w:t>2</w:t>
            </w:r>
          </w:p>
        </w:tc>
        <w:tc>
          <w:tcPr>
            <w:tcW w:w="1630" w:type="dxa"/>
            <w:tcBorders>
              <w:top w:val="single" w:sz="4" w:space="0" w:color="auto"/>
              <w:left w:val="nil"/>
              <w:bottom w:val="double" w:sz="6" w:space="0" w:color="auto"/>
              <w:right w:val="nil"/>
            </w:tcBorders>
            <w:shd w:val="clear" w:color="auto" w:fill="auto"/>
            <w:vAlign w:val="center"/>
            <w:hideMark/>
          </w:tcPr>
          <w:p w14:paraId="5EE0D81D" w14:textId="68573AC1" w:rsidR="002074F6" w:rsidRPr="006961D2" w:rsidRDefault="002074F6" w:rsidP="00C10467">
            <w:pPr>
              <w:keepNext/>
              <w:keepLines/>
              <w:spacing w:before="80" w:after="80" w:line="250" w:lineRule="exact"/>
              <w:ind w:right="-52"/>
              <w:jc w:val="right"/>
              <w:outlineLvl w:val="0"/>
              <w:rPr>
                <w:rFonts w:ascii="Arial" w:hAnsi="Arial" w:cs="Arial"/>
                <w:b/>
                <w:bCs/>
                <w:color w:val="000000"/>
                <w:sz w:val="20"/>
                <w:lang w:val="tr-TR"/>
              </w:rPr>
            </w:pPr>
            <w:r>
              <w:rPr>
                <w:b/>
                <w:bCs/>
                <w:sz w:val="20"/>
                <w:szCs w:val="24"/>
                <w:lang w:val="tr-TR"/>
              </w:rPr>
              <w:t>Önceki Dönem</w:t>
            </w:r>
            <w:r>
              <w:rPr>
                <w:b/>
                <w:bCs/>
                <w:sz w:val="20"/>
                <w:szCs w:val="24"/>
                <w:lang w:val="tr-TR"/>
              </w:rPr>
              <w:br/>
              <w:t>31.03</w:t>
            </w:r>
            <w:r w:rsidRPr="006961D2">
              <w:rPr>
                <w:b/>
                <w:bCs/>
                <w:sz w:val="20"/>
                <w:szCs w:val="24"/>
                <w:lang w:val="tr-TR"/>
              </w:rPr>
              <w:t>.202</w:t>
            </w:r>
            <w:r>
              <w:rPr>
                <w:b/>
                <w:bCs/>
                <w:sz w:val="20"/>
                <w:szCs w:val="24"/>
                <w:lang w:val="tr-TR"/>
              </w:rPr>
              <w:t>1</w:t>
            </w:r>
          </w:p>
        </w:tc>
        <w:tc>
          <w:tcPr>
            <w:tcW w:w="1091" w:type="dxa"/>
            <w:tcBorders>
              <w:top w:val="single" w:sz="4" w:space="0" w:color="auto"/>
              <w:left w:val="nil"/>
              <w:bottom w:val="double" w:sz="6" w:space="0" w:color="auto"/>
              <w:right w:val="single" w:sz="4" w:space="0" w:color="auto"/>
            </w:tcBorders>
            <w:shd w:val="clear" w:color="auto" w:fill="auto"/>
            <w:vAlign w:val="center"/>
            <w:hideMark/>
          </w:tcPr>
          <w:p w14:paraId="72CFC053" w14:textId="77777777" w:rsidR="002074F6" w:rsidRPr="006961D2" w:rsidRDefault="002074F6" w:rsidP="00C10467">
            <w:pPr>
              <w:jc w:val="right"/>
              <w:rPr>
                <w:rFonts w:ascii="Arial" w:hAnsi="Arial" w:cs="Arial"/>
                <w:b/>
                <w:bCs/>
                <w:color w:val="000000"/>
                <w:sz w:val="20"/>
                <w:lang w:val="tr-TR"/>
              </w:rPr>
            </w:pPr>
            <w:r w:rsidRPr="006961D2">
              <w:rPr>
                <w:b/>
                <w:bCs/>
                <w:sz w:val="20"/>
                <w:szCs w:val="24"/>
                <w:lang w:val="tr-TR"/>
              </w:rPr>
              <w:t>Değişim</w:t>
            </w:r>
            <w:r w:rsidRPr="006961D2">
              <w:rPr>
                <w:rFonts w:ascii="Arial" w:hAnsi="Arial" w:cs="Arial"/>
                <w:b/>
                <w:bCs/>
                <w:color w:val="000000"/>
                <w:sz w:val="20"/>
                <w:lang w:val="tr-TR"/>
              </w:rPr>
              <w:t xml:space="preserve"> </w:t>
            </w:r>
            <w:r w:rsidRPr="006961D2">
              <w:rPr>
                <w:rFonts w:ascii="Symbol" w:hAnsi="Symbol" w:cs="Arial"/>
                <w:color w:val="000000"/>
                <w:sz w:val="20"/>
                <w:lang w:val="tr-TR"/>
              </w:rPr>
              <w:t></w:t>
            </w:r>
            <w:r w:rsidRPr="006961D2">
              <w:rPr>
                <w:rFonts w:ascii="Symbol" w:hAnsi="Symbol" w:cs="Arial"/>
                <w:color w:val="000000"/>
                <w:sz w:val="20"/>
                <w:lang w:val="tr-TR"/>
              </w:rPr>
              <w:t></w:t>
            </w:r>
            <w:r w:rsidRPr="006961D2">
              <w:rPr>
                <w:rFonts w:ascii="Symbol" w:hAnsi="Symbol" w:cs="Arial"/>
                <w:color w:val="000000"/>
                <w:sz w:val="20"/>
                <w:lang w:val="tr-TR"/>
              </w:rPr>
              <w:t></w:t>
            </w:r>
          </w:p>
        </w:tc>
      </w:tr>
      <w:tr w:rsidR="002074F6" w:rsidRPr="006961D2" w14:paraId="62564406" w14:textId="77777777" w:rsidTr="00C10467">
        <w:trPr>
          <w:trHeight w:val="231"/>
        </w:trPr>
        <w:tc>
          <w:tcPr>
            <w:tcW w:w="4840" w:type="dxa"/>
            <w:tcBorders>
              <w:top w:val="nil"/>
              <w:left w:val="single" w:sz="4" w:space="0" w:color="auto"/>
              <w:bottom w:val="nil"/>
              <w:right w:val="nil"/>
            </w:tcBorders>
            <w:shd w:val="clear" w:color="auto" w:fill="auto"/>
            <w:noWrap/>
            <w:vAlign w:val="bottom"/>
            <w:hideMark/>
          </w:tcPr>
          <w:p w14:paraId="7FE16449" w14:textId="6275785D"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Toplam Aktifler</w:t>
            </w:r>
          </w:p>
        </w:tc>
        <w:tc>
          <w:tcPr>
            <w:tcW w:w="2246" w:type="dxa"/>
            <w:tcBorders>
              <w:top w:val="nil"/>
              <w:left w:val="nil"/>
              <w:bottom w:val="nil"/>
              <w:right w:val="nil"/>
            </w:tcBorders>
            <w:shd w:val="clear" w:color="auto" w:fill="auto"/>
            <w:noWrap/>
          </w:tcPr>
          <w:p w14:paraId="04D13AC3" w14:textId="020C94D0"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953,347,155 </w:t>
            </w:r>
          </w:p>
        </w:tc>
        <w:tc>
          <w:tcPr>
            <w:tcW w:w="1630" w:type="dxa"/>
            <w:tcBorders>
              <w:top w:val="nil"/>
              <w:left w:val="nil"/>
              <w:bottom w:val="nil"/>
              <w:right w:val="nil"/>
            </w:tcBorders>
            <w:shd w:val="clear" w:color="auto" w:fill="auto"/>
            <w:noWrap/>
          </w:tcPr>
          <w:p w14:paraId="69C7F03A" w14:textId="4D1D153D"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850,475,600 </w:t>
            </w:r>
          </w:p>
        </w:tc>
        <w:tc>
          <w:tcPr>
            <w:tcW w:w="1091" w:type="dxa"/>
            <w:tcBorders>
              <w:top w:val="nil"/>
              <w:left w:val="nil"/>
              <w:bottom w:val="nil"/>
              <w:right w:val="single" w:sz="4" w:space="0" w:color="auto"/>
            </w:tcBorders>
            <w:shd w:val="clear" w:color="auto" w:fill="auto"/>
            <w:noWrap/>
            <w:hideMark/>
          </w:tcPr>
          <w:p w14:paraId="3657D369" w14:textId="66FA5ED0"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12.1</w:t>
            </w:r>
          </w:p>
        </w:tc>
      </w:tr>
      <w:tr w:rsidR="002074F6" w:rsidRPr="006961D2" w14:paraId="40D00B95"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227C9510" w14:textId="5BA028BD"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Krediler*</w:t>
            </w:r>
          </w:p>
        </w:tc>
        <w:tc>
          <w:tcPr>
            <w:tcW w:w="2246" w:type="dxa"/>
            <w:tcBorders>
              <w:top w:val="nil"/>
              <w:left w:val="nil"/>
              <w:bottom w:val="nil"/>
              <w:right w:val="nil"/>
            </w:tcBorders>
            <w:shd w:val="clear" w:color="auto" w:fill="auto"/>
            <w:noWrap/>
          </w:tcPr>
          <w:p w14:paraId="206F5C75" w14:textId="1BF5A366"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566,148,088 </w:t>
            </w:r>
          </w:p>
        </w:tc>
        <w:tc>
          <w:tcPr>
            <w:tcW w:w="1630" w:type="dxa"/>
            <w:tcBorders>
              <w:top w:val="nil"/>
              <w:left w:val="nil"/>
              <w:bottom w:val="nil"/>
              <w:right w:val="nil"/>
            </w:tcBorders>
            <w:shd w:val="clear" w:color="auto" w:fill="auto"/>
            <w:noWrap/>
          </w:tcPr>
          <w:p w14:paraId="6B3ABF94" w14:textId="07E1A352"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492,589,718 </w:t>
            </w:r>
          </w:p>
        </w:tc>
        <w:tc>
          <w:tcPr>
            <w:tcW w:w="1091" w:type="dxa"/>
            <w:tcBorders>
              <w:top w:val="nil"/>
              <w:left w:val="nil"/>
              <w:bottom w:val="nil"/>
              <w:right w:val="single" w:sz="4" w:space="0" w:color="auto"/>
            </w:tcBorders>
            <w:shd w:val="clear" w:color="auto" w:fill="auto"/>
            <w:noWrap/>
            <w:hideMark/>
          </w:tcPr>
          <w:p w14:paraId="47D4911E" w14:textId="0BB1A0F2"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14.9</w:t>
            </w:r>
          </w:p>
        </w:tc>
      </w:tr>
      <w:tr w:rsidR="002074F6" w:rsidRPr="006961D2" w14:paraId="14C673AF"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08592B40" w14:textId="74E38971"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 xml:space="preserve">  -Canlı Krediler</w:t>
            </w:r>
          </w:p>
        </w:tc>
        <w:tc>
          <w:tcPr>
            <w:tcW w:w="2246" w:type="dxa"/>
            <w:tcBorders>
              <w:top w:val="nil"/>
              <w:left w:val="nil"/>
              <w:bottom w:val="nil"/>
              <w:right w:val="nil"/>
            </w:tcBorders>
            <w:shd w:val="clear" w:color="auto" w:fill="auto"/>
            <w:noWrap/>
          </w:tcPr>
          <w:p w14:paraId="5FDCDABD" w14:textId="5EF4421A"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548,041,373 </w:t>
            </w:r>
          </w:p>
        </w:tc>
        <w:tc>
          <w:tcPr>
            <w:tcW w:w="1630" w:type="dxa"/>
            <w:tcBorders>
              <w:top w:val="nil"/>
              <w:left w:val="nil"/>
              <w:bottom w:val="nil"/>
              <w:right w:val="nil"/>
            </w:tcBorders>
            <w:shd w:val="clear" w:color="auto" w:fill="auto"/>
            <w:noWrap/>
          </w:tcPr>
          <w:p w14:paraId="36C0701C" w14:textId="0F6D3BA6"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475,285,220 </w:t>
            </w:r>
          </w:p>
        </w:tc>
        <w:tc>
          <w:tcPr>
            <w:tcW w:w="1091" w:type="dxa"/>
            <w:tcBorders>
              <w:top w:val="nil"/>
              <w:left w:val="nil"/>
              <w:bottom w:val="nil"/>
              <w:right w:val="single" w:sz="4" w:space="0" w:color="auto"/>
            </w:tcBorders>
            <w:shd w:val="clear" w:color="auto" w:fill="auto"/>
            <w:noWrap/>
            <w:hideMark/>
          </w:tcPr>
          <w:p w14:paraId="0F99A7C9" w14:textId="52939D37" w:rsidR="002074F6" w:rsidRPr="00AF30A4" w:rsidRDefault="002074F6" w:rsidP="002074F6">
            <w:pPr>
              <w:keepNext/>
              <w:keepLines/>
              <w:spacing w:before="80" w:after="80" w:line="250" w:lineRule="exact"/>
              <w:ind w:right="-52"/>
              <w:jc w:val="right"/>
              <w:outlineLvl w:val="0"/>
              <w:rPr>
                <w:bCs/>
                <w:i/>
                <w:sz w:val="20"/>
                <w:szCs w:val="24"/>
                <w:lang w:val="tr-TR"/>
              </w:rPr>
            </w:pPr>
            <w:r>
              <w:rPr>
                <w:sz w:val="20"/>
              </w:rPr>
              <w:t>%</w:t>
            </w:r>
            <w:r w:rsidRPr="00AF30A4">
              <w:rPr>
                <w:sz w:val="20"/>
              </w:rPr>
              <w:t>15.3</w:t>
            </w:r>
          </w:p>
        </w:tc>
      </w:tr>
      <w:tr w:rsidR="002074F6" w:rsidRPr="006961D2" w14:paraId="5C452AD5"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1C50B3C1" w14:textId="0787A488"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 xml:space="preserve">  -Takipteki Krediler</w:t>
            </w:r>
          </w:p>
        </w:tc>
        <w:tc>
          <w:tcPr>
            <w:tcW w:w="2246" w:type="dxa"/>
            <w:tcBorders>
              <w:top w:val="nil"/>
              <w:left w:val="nil"/>
              <w:bottom w:val="nil"/>
              <w:right w:val="nil"/>
            </w:tcBorders>
            <w:shd w:val="clear" w:color="auto" w:fill="auto"/>
            <w:noWrap/>
          </w:tcPr>
          <w:p w14:paraId="5F0CA8E9" w14:textId="4B7C1838"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18,106,715 </w:t>
            </w:r>
          </w:p>
        </w:tc>
        <w:tc>
          <w:tcPr>
            <w:tcW w:w="1630" w:type="dxa"/>
            <w:tcBorders>
              <w:top w:val="nil"/>
              <w:left w:val="nil"/>
              <w:bottom w:val="nil"/>
              <w:right w:val="nil"/>
            </w:tcBorders>
            <w:shd w:val="clear" w:color="auto" w:fill="auto"/>
            <w:noWrap/>
          </w:tcPr>
          <w:p w14:paraId="03B8DC86" w14:textId="61E4493B"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17,304,498 </w:t>
            </w:r>
          </w:p>
        </w:tc>
        <w:tc>
          <w:tcPr>
            <w:tcW w:w="1091" w:type="dxa"/>
            <w:tcBorders>
              <w:top w:val="nil"/>
              <w:left w:val="nil"/>
              <w:bottom w:val="nil"/>
              <w:right w:val="single" w:sz="4" w:space="0" w:color="auto"/>
            </w:tcBorders>
            <w:shd w:val="clear" w:color="auto" w:fill="auto"/>
            <w:noWrap/>
            <w:hideMark/>
          </w:tcPr>
          <w:p w14:paraId="65F0A70A" w14:textId="07836B8E" w:rsidR="002074F6" w:rsidRPr="00AF30A4" w:rsidRDefault="002074F6" w:rsidP="002074F6">
            <w:pPr>
              <w:keepNext/>
              <w:keepLines/>
              <w:spacing w:before="80" w:after="80" w:line="250" w:lineRule="exact"/>
              <w:ind w:right="-52"/>
              <w:jc w:val="right"/>
              <w:outlineLvl w:val="0"/>
              <w:rPr>
                <w:bCs/>
                <w:i/>
                <w:sz w:val="20"/>
                <w:szCs w:val="24"/>
                <w:lang w:val="tr-TR"/>
              </w:rPr>
            </w:pPr>
            <w:r>
              <w:rPr>
                <w:sz w:val="20"/>
              </w:rPr>
              <w:t>%</w:t>
            </w:r>
            <w:r w:rsidRPr="00AF30A4">
              <w:rPr>
                <w:sz w:val="20"/>
              </w:rPr>
              <w:t>4.6</w:t>
            </w:r>
          </w:p>
        </w:tc>
      </w:tr>
      <w:tr w:rsidR="002074F6" w:rsidRPr="006961D2" w14:paraId="084DC520" w14:textId="77777777" w:rsidTr="00C10467">
        <w:trPr>
          <w:trHeight w:val="319"/>
        </w:trPr>
        <w:tc>
          <w:tcPr>
            <w:tcW w:w="4840" w:type="dxa"/>
            <w:tcBorders>
              <w:top w:val="nil"/>
              <w:left w:val="single" w:sz="4" w:space="0" w:color="auto"/>
              <w:bottom w:val="nil"/>
              <w:right w:val="nil"/>
            </w:tcBorders>
            <w:shd w:val="clear" w:color="auto" w:fill="auto"/>
            <w:noWrap/>
            <w:vAlign w:val="bottom"/>
            <w:hideMark/>
          </w:tcPr>
          <w:p w14:paraId="6489256A" w14:textId="411CBD67"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Müşteri Mevduatları</w:t>
            </w:r>
          </w:p>
        </w:tc>
        <w:tc>
          <w:tcPr>
            <w:tcW w:w="2246" w:type="dxa"/>
            <w:tcBorders>
              <w:top w:val="nil"/>
              <w:left w:val="nil"/>
              <w:bottom w:val="nil"/>
              <w:right w:val="nil"/>
            </w:tcBorders>
            <w:shd w:val="clear" w:color="auto" w:fill="auto"/>
            <w:noWrap/>
          </w:tcPr>
          <w:p w14:paraId="7C6D2CE5" w14:textId="7E9ABEAF"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651,582,488 </w:t>
            </w:r>
          </w:p>
        </w:tc>
        <w:tc>
          <w:tcPr>
            <w:tcW w:w="1630" w:type="dxa"/>
            <w:tcBorders>
              <w:top w:val="nil"/>
              <w:left w:val="nil"/>
              <w:bottom w:val="nil"/>
              <w:right w:val="nil"/>
            </w:tcBorders>
            <w:shd w:val="clear" w:color="auto" w:fill="auto"/>
            <w:noWrap/>
          </w:tcPr>
          <w:p w14:paraId="036041C9" w14:textId="3152564D"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580,376,196 </w:t>
            </w:r>
          </w:p>
        </w:tc>
        <w:tc>
          <w:tcPr>
            <w:tcW w:w="1091" w:type="dxa"/>
            <w:tcBorders>
              <w:top w:val="nil"/>
              <w:left w:val="nil"/>
              <w:bottom w:val="nil"/>
              <w:right w:val="single" w:sz="4" w:space="0" w:color="auto"/>
            </w:tcBorders>
            <w:shd w:val="clear" w:color="auto" w:fill="auto"/>
            <w:noWrap/>
            <w:hideMark/>
          </w:tcPr>
          <w:p w14:paraId="1EC86169" w14:textId="3DFA6474"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12.3</w:t>
            </w:r>
          </w:p>
        </w:tc>
      </w:tr>
      <w:tr w:rsidR="002074F6" w:rsidRPr="006961D2" w14:paraId="45BDDE7B" w14:textId="77777777" w:rsidTr="00C10467">
        <w:trPr>
          <w:trHeight w:val="218"/>
        </w:trPr>
        <w:tc>
          <w:tcPr>
            <w:tcW w:w="4840" w:type="dxa"/>
            <w:tcBorders>
              <w:top w:val="nil"/>
              <w:left w:val="single" w:sz="4" w:space="0" w:color="auto"/>
              <w:right w:val="nil"/>
            </w:tcBorders>
            <w:shd w:val="clear" w:color="auto" w:fill="auto"/>
            <w:noWrap/>
            <w:vAlign w:val="bottom"/>
            <w:hideMark/>
          </w:tcPr>
          <w:p w14:paraId="2A901725" w14:textId="105724A6"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Özsermaye</w:t>
            </w:r>
          </w:p>
        </w:tc>
        <w:tc>
          <w:tcPr>
            <w:tcW w:w="2246" w:type="dxa"/>
            <w:tcBorders>
              <w:top w:val="nil"/>
              <w:left w:val="nil"/>
              <w:right w:val="nil"/>
            </w:tcBorders>
            <w:shd w:val="clear" w:color="auto" w:fill="auto"/>
            <w:noWrap/>
          </w:tcPr>
          <w:p w14:paraId="74D4BAF5" w14:textId="10F8DCF6"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96,965,406 </w:t>
            </w:r>
          </w:p>
        </w:tc>
        <w:tc>
          <w:tcPr>
            <w:tcW w:w="1630" w:type="dxa"/>
            <w:tcBorders>
              <w:top w:val="nil"/>
              <w:left w:val="nil"/>
              <w:right w:val="nil"/>
            </w:tcBorders>
            <w:shd w:val="clear" w:color="auto" w:fill="auto"/>
            <w:noWrap/>
          </w:tcPr>
          <w:p w14:paraId="20154503" w14:textId="0B42266B"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80,300,855 </w:t>
            </w:r>
          </w:p>
        </w:tc>
        <w:tc>
          <w:tcPr>
            <w:tcW w:w="1091" w:type="dxa"/>
            <w:tcBorders>
              <w:top w:val="nil"/>
              <w:left w:val="nil"/>
              <w:right w:val="single" w:sz="4" w:space="0" w:color="auto"/>
            </w:tcBorders>
            <w:shd w:val="clear" w:color="auto" w:fill="auto"/>
            <w:noWrap/>
            <w:hideMark/>
          </w:tcPr>
          <w:p w14:paraId="6B054F3E" w14:textId="3F1A0DE2"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20.8</w:t>
            </w:r>
          </w:p>
        </w:tc>
      </w:tr>
      <w:tr w:rsidR="002074F6" w:rsidRPr="006961D2" w14:paraId="41AF24F4" w14:textId="77777777" w:rsidTr="00C10467">
        <w:trPr>
          <w:trHeight w:val="218"/>
        </w:trPr>
        <w:tc>
          <w:tcPr>
            <w:tcW w:w="4840" w:type="dxa"/>
            <w:tcBorders>
              <w:top w:val="nil"/>
              <w:left w:val="single" w:sz="4" w:space="0" w:color="auto"/>
              <w:bottom w:val="single" w:sz="4" w:space="0" w:color="auto"/>
              <w:right w:val="nil"/>
            </w:tcBorders>
            <w:shd w:val="clear" w:color="auto" w:fill="auto"/>
            <w:noWrap/>
            <w:vAlign w:val="bottom"/>
          </w:tcPr>
          <w:p w14:paraId="200CF053" w14:textId="3BCA4478" w:rsidR="002074F6" w:rsidRPr="006961D2" w:rsidRDefault="00597652" w:rsidP="002074F6">
            <w:pPr>
              <w:keepNext/>
              <w:keepLines/>
              <w:spacing w:before="80" w:after="80" w:line="250" w:lineRule="exact"/>
              <w:ind w:right="-52"/>
              <w:outlineLvl w:val="0"/>
              <w:rPr>
                <w:rFonts w:ascii="Arial" w:hAnsi="Arial" w:cs="Arial"/>
                <w:color w:val="000000"/>
                <w:sz w:val="20"/>
                <w:lang w:val="tr-TR"/>
              </w:rPr>
            </w:pPr>
            <w:r w:rsidRPr="006961D2">
              <w:rPr>
                <w:rFonts w:ascii="Arial" w:hAnsi="Arial" w:cs="Arial"/>
                <w:i/>
                <w:color w:val="000000"/>
                <w:sz w:val="14"/>
                <w:szCs w:val="14"/>
                <w:lang w:val="tr-TR"/>
              </w:rPr>
              <w:t>*Finansal Kiralama ve Faktoring alacaklarını içermemektedir</w:t>
            </w:r>
            <w:r>
              <w:rPr>
                <w:rFonts w:ascii="Arial" w:hAnsi="Arial" w:cs="Arial"/>
                <w:i/>
                <w:color w:val="000000"/>
                <w:sz w:val="14"/>
                <w:szCs w:val="14"/>
                <w:lang w:val="tr-TR"/>
              </w:rPr>
              <w:t>.</w:t>
            </w:r>
          </w:p>
        </w:tc>
        <w:tc>
          <w:tcPr>
            <w:tcW w:w="2246" w:type="dxa"/>
            <w:tcBorders>
              <w:top w:val="nil"/>
              <w:left w:val="nil"/>
              <w:bottom w:val="single" w:sz="4" w:space="0" w:color="auto"/>
              <w:right w:val="nil"/>
            </w:tcBorders>
            <w:shd w:val="clear" w:color="auto" w:fill="auto"/>
            <w:noWrap/>
          </w:tcPr>
          <w:p w14:paraId="2B6C5940" w14:textId="217FBDB6" w:rsidR="002074F6" w:rsidRPr="006961D2" w:rsidRDefault="002074F6" w:rsidP="002074F6">
            <w:pPr>
              <w:jc w:val="right"/>
              <w:rPr>
                <w:lang w:val="tr-TR"/>
              </w:rPr>
            </w:pPr>
          </w:p>
        </w:tc>
        <w:tc>
          <w:tcPr>
            <w:tcW w:w="1630" w:type="dxa"/>
            <w:tcBorders>
              <w:top w:val="nil"/>
              <w:left w:val="nil"/>
              <w:bottom w:val="single" w:sz="4" w:space="0" w:color="auto"/>
              <w:right w:val="nil"/>
            </w:tcBorders>
            <w:shd w:val="clear" w:color="auto" w:fill="auto"/>
            <w:noWrap/>
          </w:tcPr>
          <w:p w14:paraId="76A8AF75" w14:textId="1375991E" w:rsidR="002074F6" w:rsidRPr="006961D2" w:rsidRDefault="002074F6" w:rsidP="002074F6">
            <w:pPr>
              <w:jc w:val="right"/>
              <w:rPr>
                <w:lang w:val="tr-TR"/>
              </w:rPr>
            </w:pPr>
          </w:p>
        </w:tc>
        <w:tc>
          <w:tcPr>
            <w:tcW w:w="1091" w:type="dxa"/>
            <w:tcBorders>
              <w:top w:val="nil"/>
              <w:left w:val="nil"/>
              <w:bottom w:val="single" w:sz="4" w:space="0" w:color="auto"/>
              <w:right w:val="single" w:sz="4" w:space="0" w:color="auto"/>
            </w:tcBorders>
            <w:shd w:val="clear" w:color="auto" w:fill="auto"/>
            <w:noWrap/>
          </w:tcPr>
          <w:p w14:paraId="40601916" w14:textId="389DA953" w:rsidR="002074F6" w:rsidRPr="006961D2" w:rsidRDefault="002074F6" w:rsidP="002074F6">
            <w:pPr>
              <w:jc w:val="right"/>
              <w:rPr>
                <w:lang w:val="tr-TR"/>
              </w:rPr>
            </w:pPr>
          </w:p>
        </w:tc>
      </w:tr>
      <w:tr w:rsidR="002074F6" w:rsidRPr="006961D2" w14:paraId="4731F168" w14:textId="77777777" w:rsidTr="00C10467">
        <w:trPr>
          <w:trHeight w:val="451"/>
        </w:trPr>
        <w:tc>
          <w:tcPr>
            <w:tcW w:w="4840" w:type="dxa"/>
            <w:tcBorders>
              <w:top w:val="nil"/>
              <w:left w:val="single" w:sz="4" w:space="0" w:color="auto"/>
              <w:bottom w:val="double" w:sz="6" w:space="0" w:color="auto"/>
              <w:right w:val="nil"/>
            </w:tcBorders>
            <w:shd w:val="clear" w:color="auto" w:fill="auto"/>
            <w:noWrap/>
            <w:vAlign w:val="center"/>
            <w:hideMark/>
          </w:tcPr>
          <w:p w14:paraId="772974D0" w14:textId="77777777" w:rsidR="002074F6" w:rsidRPr="006961D2" w:rsidRDefault="002074F6" w:rsidP="00C10467">
            <w:pPr>
              <w:keepNext/>
              <w:keepLines/>
              <w:spacing w:before="80" w:after="80" w:line="250" w:lineRule="exact"/>
              <w:ind w:right="-52"/>
              <w:outlineLvl w:val="0"/>
              <w:rPr>
                <w:b/>
                <w:bCs/>
                <w:sz w:val="20"/>
                <w:szCs w:val="24"/>
                <w:lang w:val="tr-TR"/>
              </w:rPr>
            </w:pPr>
            <w:r w:rsidRPr="006961D2">
              <w:rPr>
                <w:b/>
                <w:bCs/>
                <w:sz w:val="20"/>
                <w:szCs w:val="24"/>
                <w:lang w:val="tr-TR"/>
              </w:rPr>
              <w:t>Başlıca Gelir Kalemleri</w:t>
            </w:r>
          </w:p>
        </w:tc>
        <w:tc>
          <w:tcPr>
            <w:tcW w:w="2246" w:type="dxa"/>
            <w:tcBorders>
              <w:top w:val="single" w:sz="4" w:space="0" w:color="auto"/>
              <w:left w:val="nil"/>
              <w:bottom w:val="double" w:sz="6" w:space="0" w:color="auto"/>
              <w:right w:val="nil"/>
            </w:tcBorders>
            <w:shd w:val="clear" w:color="auto" w:fill="auto"/>
            <w:vAlign w:val="center"/>
            <w:hideMark/>
          </w:tcPr>
          <w:p w14:paraId="0C73370B" w14:textId="77777777" w:rsidR="002074F6" w:rsidRPr="006961D2" w:rsidRDefault="002074F6" w:rsidP="00C10467">
            <w:pPr>
              <w:keepNext/>
              <w:keepLines/>
              <w:spacing w:before="80" w:after="80" w:line="250" w:lineRule="exact"/>
              <w:ind w:right="-52"/>
              <w:jc w:val="right"/>
              <w:outlineLvl w:val="0"/>
              <w:rPr>
                <w:b/>
                <w:bCs/>
                <w:sz w:val="20"/>
                <w:szCs w:val="24"/>
                <w:lang w:val="tr-TR"/>
              </w:rPr>
            </w:pPr>
            <w:r w:rsidRPr="006961D2">
              <w:rPr>
                <w:b/>
                <w:bCs/>
                <w:sz w:val="20"/>
                <w:szCs w:val="24"/>
                <w:lang w:val="tr-TR"/>
              </w:rPr>
              <w:t>Cari Dönem</w:t>
            </w:r>
            <w:r w:rsidRPr="006961D2">
              <w:rPr>
                <w:b/>
                <w:bCs/>
                <w:sz w:val="20"/>
                <w:szCs w:val="24"/>
                <w:lang w:val="tr-TR"/>
              </w:rPr>
              <w:br/>
              <w:t>31.03.202</w:t>
            </w:r>
            <w:r>
              <w:rPr>
                <w:b/>
                <w:bCs/>
                <w:sz w:val="20"/>
                <w:szCs w:val="24"/>
                <w:lang w:val="tr-TR"/>
              </w:rPr>
              <w:t>2</w:t>
            </w:r>
          </w:p>
        </w:tc>
        <w:tc>
          <w:tcPr>
            <w:tcW w:w="1630" w:type="dxa"/>
            <w:tcBorders>
              <w:top w:val="single" w:sz="4" w:space="0" w:color="auto"/>
              <w:left w:val="nil"/>
              <w:bottom w:val="double" w:sz="6" w:space="0" w:color="auto"/>
              <w:right w:val="nil"/>
            </w:tcBorders>
            <w:shd w:val="clear" w:color="auto" w:fill="auto"/>
            <w:vAlign w:val="center"/>
            <w:hideMark/>
          </w:tcPr>
          <w:p w14:paraId="3B134EA1" w14:textId="77777777" w:rsidR="002074F6" w:rsidRPr="006961D2" w:rsidRDefault="002074F6" w:rsidP="00C10467">
            <w:pPr>
              <w:keepNext/>
              <w:keepLines/>
              <w:spacing w:before="80" w:after="80" w:line="250" w:lineRule="exact"/>
              <w:ind w:right="-52"/>
              <w:jc w:val="right"/>
              <w:outlineLvl w:val="0"/>
              <w:rPr>
                <w:b/>
                <w:bCs/>
                <w:sz w:val="20"/>
                <w:szCs w:val="24"/>
                <w:lang w:val="tr-TR"/>
              </w:rPr>
            </w:pPr>
            <w:r w:rsidRPr="006961D2">
              <w:rPr>
                <w:b/>
                <w:bCs/>
                <w:sz w:val="20"/>
                <w:szCs w:val="24"/>
                <w:lang w:val="tr-TR"/>
              </w:rPr>
              <w:t>Önceki Dönem</w:t>
            </w:r>
            <w:r w:rsidRPr="006961D2">
              <w:rPr>
                <w:b/>
                <w:bCs/>
                <w:sz w:val="20"/>
                <w:szCs w:val="24"/>
                <w:lang w:val="tr-TR"/>
              </w:rPr>
              <w:br/>
              <w:t>31.03.202</w:t>
            </w:r>
            <w:r>
              <w:rPr>
                <w:b/>
                <w:bCs/>
                <w:sz w:val="20"/>
                <w:szCs w:val="24"/>
                <w:lang w:val="tr-TR"/>
              </w:rPr>
              <w:t>1</w:t>
            </w:r>
          </w:p>
        </w:tc>
        <w:tc>
          <w:tcPr>
            <w:tcW w:w="1091" w:type="dxa"/>
            <w:tcBorders>
              <w:top w:val="single" w:sz="4" w:space="0" w:color="auto"/>
              <w:left w:val="nil"/>
              <w:bottom w:val="double" w:sz="6" w:space="0" w:color="auto"/>
              <w:right w:val="single" w:sz="4" w:space="0" w:color="auto"/>
            </w:tcBorders>
            <w:shd w:val="clear" w:color="auto" w:fill="auto"/>
            <w:vAlign w:val="center"/>
            <w:hideMark/>
          </w:tcPr>
          <w:p w14:paraId="6EBC41B7" w14:textId="77777777" w:rsidR="002074F6" w:rsidRPr="006961D2" w:rsidRDefault="002074F6" w:rsidP="00C10467">
            <w:pPr>
              <w:jc w:val="right"/>
              <w:rPr>
                <w:rFonts w:ascii="Arial" w:hAnsi="Arial" w:cs="Arial"/>
                <w:b/>
                <w:bCs/>
                <w:color w:val="000000"/>
                <w:sz w:val="20"/>
                <w:lang w:val="tr-TR"/>
              </w:rPr>
            </w:pPr>
            <w:r w:rsidRPr="006961D2">
              <w:rPr>
                <w:b/>
                <w:bCs/>
                <w:sz w:val="20"/>
                <w:szCs w:val="24"/>
                <w:lang w:val="tr-TR"/>
              </w:rPr>
              <w:t xml:space="preserve">Değişim </w:t>
            </w:r>
            <w:r w:rsidRPr="006961D2">
              <w:rPr>
                <w:sz w:val="20"/>
                <w:lang w:val="tr-TR"/>
              </w:rPr>
              <w:t>%</w:t>
            </w:r>
            <w:r w:rsidRPr="006961D2">
              <w:rPr>
                <w:rFonts w:ascii="Symbol" w:hAnsi="Symbol" w:cs="Arial"/>
                <w:color w:val="000000"/>
                <w:sz w:val="20"/>
                <w:lang w:val="tr-TR"/>
              </w:rPr>
              <w:t></w:t>
            </w:r>
            <w:r w:rsidRPr="006961D2">
              <w:rPr>
                <w:rFonts w:ascii="Symbol" w:hAnsi="Symbol" w:cs="Arial"/>
                <w:color w:val="000000"/>
                <w:sz w:val="20"/>
                <w:lang w:val="tr-TR"/>
              </w:rPr>
              <w:t></w:t>
            </w:r>
          </w:p>
        </w:tc>
      </w:tr>
      <w:tr w:rsidR="002074F6" w:rsidRPr="006961D2" w14:paraId="6EF199B2" w14:textId="77777777" w:rsidTr="00C10467">
        <w:trPr>
          <w:trHeight w:val="231"/>
        </w:trPr>
        <w:tc>
          <w:tcPr>
            <w:tcW w:w="4840" w:type="dxa"/>
            <w:tcBorders>
              <w:top w:val="nil"/>
              <w:left w:val="single" w:sz="4" w:space="0" w:color="auto"/>
              <w:bottom w:val="nil"/>
              <w:right w:val="nil"/>
            </w:tcBorders>
            <w:shd w:val="clear" w:color="auto" w:fill="auto"/>
            <w:noWrap/>
            <w:vAlign w:val="bottom"/>
            <w:hideMark/>
          </w:tcPr>
          <w:p w14:paraId="6206FA39" w14:textId="240591C1"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Net Faiz Geliri</w:t>
            </w:r>
          </w:p>
        </w:tc>
        <w:tc>
          <w:tcPr>
            <w:tcW w:w="2246" w:type="dxa"/>
            <w:tcBorders>
              <w:top w:val="nil"/>
              <w:left w:val="nil"/>
              <w:bottom w:val="nil"/>
              <w:right w:val="nil"/>
            </w:tcBorders>
            <w:shd w:val="clear" w:color="auto" w:fill="auto"/>
            <w:noWrap/>
            <w:hideMark/>
          </w:tcPr>
          <w:p w14:paraId="40BA3593" w14:textId="3CE2F086"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14,243,833 </w:t>
            </w:r>
          </w:p>
        </w:tc>
        <w:tc>
          <w:tcPr>
            <w:tcW w:w="1630" w:type="dxa"/>
            <w:tcBorders>
              <w:top w:val="nil"/>
              <w:left w:val="nil"/>
              <w:bottom w:val="nil"/>
              <w:right w:val="nil"/>
            </w:tcBorders>
            <w:shd w:val="clear" w:color="auto" w:fill="auto"/>
            <w:noWrap/>
            <w:hideMark/>
          </w:tcPr>
          <w:p w14:paraId="42A60C36" w14:textId="432B6197"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6,844,703 </w:t>
            </w:r>
          </w:p>
        </w:tc>
        <w:tc>
          <w:tcPr>
            <w:tcW w:w="1091" w:type="dxa"/>
            <w:tcBorders>
              <w:top w:val="nil"/>
              <w:left w:val="nil"/>
              <w:bottom w:val="nil"/>
              <w:right w:val="single" w:sz="4" w:space="0" w:color="auto"/>
            </w:tcBorders>
            <w:shd w:val="clear" w:color="auto" w:fill="auto"/>
            <w:noWrap/>
            <w:hideMark/>
          </w:tcPr>
          <w:p w14:paraId="772F5C37" w14:textId="5FC16317"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108.1</w:t>
            </w:r>
          </w:p>
        </w:tc>
      </w:tr>
      <w:tr w:rsidR="002074F6" w:rsidRPr="006961D2" w14:paraId="79146E69"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45A23B46" w14:textId="302C84B2"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Operasyonel Giderler</w:t>
            </w:r>
          </w:p>
        </w:tc>
        <w:tc>
          <w:tcPr>
            <w:tcW w:w="2246" w:type="dxa"/>
            <w:tcBorders>
              <w:top w:val="nil"/>
              <w:left w:val="nil"/>
              <w:bottom w:val="nil"/>
              <w:right w:val="nil"/>
            </w:tcBorders>
            <w:shd w:val="clear" w:color="auto" w:fill="auto"/>
            <w:noWrap/>
            <w:hideMark/>
          </w:tcPr>
          <w:p w14:paraId="7BC8BEC6" w14:textId="00A5511C"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5,285,523 </w:t>
            </w:r>
          </w:p>
        </w:tc>
        <w:tc>
          <w:tcPr>
            <w:tcW w:w="1630" w:type="dxa"/>
            <w:tcBorders>
              <w:top w:val="nil"/>
              <w:left w:val="nil"/>
              <w:bottom w:val="nil"/>
              <w:right w:val="nil"/>
            </w:tcBorders>
            <w:shd w:val="clear" w:color="auto" w:fill="auto"/>
            <w:noWrap/>
            <w:hideMark/>
          </w:tcPr>
          <w:p w14:paraId="5F4BA3AB" w14:textId="722AE198"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3,279,336 </w:t>
            </w:r>
          </w:p>
        </w:tc>
        <w:tc>
          <w:tcPr>
            <w:tcW w:w="1091" w:type="dxa"/>
            <w:tcBorders>
              <w:top w:val="nil"/>
              <w:left w:val="nil"/>
              <w:bottom w:val="nil"/>
              <w:right w:val="single" w:sz="4" w:space="0" w:color="auto"/>
            </w:tcBorders>
            <w:shd w:val="clear" w:color="auto" w:fill="auto"/>
            <w:noWrap/>
            <w:hideMark/>
          </w:tcPr>
          <w:p w14:paraId="73D2CD21" w14:textId="6DD33E91"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61.2</w:t>
            </w:r>
          </w:p>
        </w:tc>
      </w:tr>
      <w:tr w:rsidR="002074F6" w:rsidRPr="006961D2" w14:paraId="7A0A2906"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1FDCA310" w14:textId="0F18545A"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 xml:space="preserve">  -Personel Giderleri</w:t>
            </w:r>
          </w:p>
        </w:tc>
        <w:tc>
          <w:tcPr>
            <w:tcW w:w="2246" w:type="dxa"/>
            <w:tcBorders>
              <w:top w:val="nil"/>
              <w:left w:val="nil"/>
              <w:bottom w:val="nil"/>
              <w:right w:val="nil"/>
            </w:tcBorders>
            <w:shd w:val="clear" w:color="auto" w:fill="auto"/>
            <w:noWrap/>
            <w:hideMark/>
          </w:tcPr>
          <w:p w14:paraId="6E686C75" w14:textId="53F160DA"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2,023,051 </w:t>
            </w:r>
          </w:p>
        </w:tc>
        <w:tc>
          <w:tcPr>
            <w:tcW w:w="1630" w:type="dxa"/>
            <w:tcBorders>
              <w:top w:val="nil"/>
              <w:left w:val="nil"/>
              <w:bottom w:val="nil"/>
              <w:right w:val="nil"/>
            </w:tcBorders>
            <w:shd w:val="clear" w:color="auto" w:fill="auto"/>
            <w:noWrap/>
            <w:hideMark/>
          </w:tcPr>
          <w:p w14:paraId="3715C7EE" w14:textId="7AC22488"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1,220,870 </w:t>
            </w:r>
          </w:p>
        </w:tc>
        <w:tc>
          <w:tcPr>
            <w:tcW w:w="1091" w:type="dxa"/>
            <w:tcBorders>
              <w:top w:val="nil"/>
              <w:left w:val="nil"/>
              <w:bottom w:val="nil"/>
              <w:right w:val="single" w:sz="4" w:space="0" w:color="auto"/>
            </w:tcBorders>
            <w:shd w:val="clear" w:color="auto" w:fill="auto"/>
            <w:noWrap/>
            <w:hideMark/>
          </w:tcPr>
          <w:p w14:paraId="59A3C003" w14:textId="7B11D16B" w:rsidR="002074F6" w:rsidRPr="00AF30A4" w:rsidRDefault="002074F6" w:rsidP="002074F6">
            <w:pPr>
              <w:keepNext/>
              <w:keepLines/>
              <w:spacing w:before="80" w:after="80" w:line="250" w:lineRule="exact"/>
              <w:ind w:right="-52"/>
              <w:jc w:val="right"/>
              <w:outlineLvl w:val="0"/>
              <w:rPr>
                <w:bCs/>
                <w:i/>
                <w:sz w:val="20"/>
                <w:szCs w:val="24"/>
                <w:lang w:val="tr-TR"/>
              </w:rPr>
            </w:pPr>
            <w:r>
              <w:rPr>
                <w:sz w:val="20"/>
              </w:rPr>
              <w:t>%</w:t>
            </w:r>
            <w:r w:rsidRPr="00AF30A4">
              <w:rPr>
                <w:sz w:val="20"/>
              </w:rPr>
              <w:t>65.7</w:t>
            </w:r>
          </w:p>
        </w:tc>
      </w:tr>
      <w:tr w:rsidR="002074F6" w:rsidRPr="006961D2" w14:paraId="714B7159"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72D4C7A2" w14:textId="7BC322A4"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 xml:space="preserve">  -Diğer Faaliyet Giderleri</w:t>
            </w:r>
          </w:p>
        </w:tc>
        <w:tc>
          <w:tcPr>
            <w:tcW w:w="2246" w:type="dxa"/>
            <w:tcBorders>
              <w:top w:val="nil"/>
              <w:left w:val="nil"/>
              <w:bottom w:val="nil"/>
              <w:right w:val="nil"/>
            </w:tcBorders>
            <w:shd w:val="clear" w:color="auto" w:fill="auto"/>
            <w:noWrap/>
            <w:hideMark/>
          </w:tcPr>
          <w:p w14:paraId="67FB86D0" w14:textId="27B34F3B"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3,262,472 </w:t>
            </w:r>
          </w:p>
        </w:tc>
        <w:tc>
          <w:tcPr>
            <w:tcW w:w="1630" w:type="dxa"/>
            <w:tcBorders>
              <w:top w:val="nil"/>
              <w:left w:val="nil"/>
              <w:bottom w:val="nil"/>
              <w:right w:val="nil"/>
            </w:tcBorders>
            <w:shd w:val="clear" w:color="auto" w:fill="auto"/>
            <w:noWrap/>
            <w:hideMark/>
          </w:tcPr>
          <w:p w14:paraId="376FC83C" w14:textId="24F96A08" w:rsidR="002074F6" w:rsidRPr="00AF30A4" w:rsidRDefault="002074F6" w:rsidP="002074F6">
            <w:pPr>
              <w:keepNext/>
              <w:keepLines/>
              <w:spacing w:before="80" w:after="80" w:line="250" w:lineRule="exact"/>
              <w:ind w:right="-52"/>
              <w:jc w:val="right"/>
              <w:outlineLvl w:val="0"/>
              <w:rPr>
                <w:bCs/>
                <w:i/>
                <w:sz w:val="20"/>
                <w:szCs w:val="24"/>
                <w:lang w:val="tr-TR"/>
              </w:rPr>
            </w:pPr>
            <w:r w:rsidRPr="00AF30A4">
              <w:rPr>
                <w:sz w:val="20"/>
              </w:rPr>
              <w:t xml:space="preserve"> 2,058,466 </w:t>
            </w:r>
          </w:p>
        </w:tc>
        <w:tc>
          <w:tcPr>
            <w:tcW w:w="1091" w:type="dxa"/>
            <w:tcBorders>
              <w:top w:val="nil"/>
              <w:left w:val="nil"/>
              <w:bottom w:val="nil"/>
              <w:right w:val="single" w:sz="4" w:space="0" w:color="auto"/>
            </w:tcBorders>
            <w:shd w:val="clear" w:color="auto" w:fill="auto"/>
            <w:noWrap/>
            <w:hideMark/>
          </w:tcPr>
          <w:p w14:paraId="56616423" w14:textId="423C93EF" w:rsidR="002074F6" w:rsidRPr="00AF30A4" w:rsidRDefault="002074F6" w:rsidP="002074F6">
            <w:pPr>
              <w:keepNext/>
              <w:keepLines/>
              <w:spacing w:before="80" w:after="80" w:line="250" w:lineRule="exact"/>
              <w:ind w:right="-52"/>
              <w:jc w:val="right"/>
              <w:outlineLvl w:val="0"/>
              <w:rPr>
                <w:bCs/>
                <w:i/>
                <w:sz w:val="20"/>
                <w:szCs w:val="24"/>
                <w:lang w:val="tr-TR"/>
              </w:rPr>
            </w:pPr>
            <w:r>
              <w:rPr>
                <w:sz w:val="20"/>
              </w:rPr>
              <w:t>%</w:t>
            </w:r>
            <w:r w:rsidRPr="00AF30A4">
              <w:rPr>
                <w:sz w:val="20"/>
              </w:rPr>
              <w:t>58.5</w:t>
            </w:r>
          </w:p>
        </w:tc>
      </w:tr>
      <w:tr w:rsidR="002074F6" w:rsidRPr="006961D2" w14:paraId="08DB80ED" w14:textId="77777777" w:rsidTr="00C10467">
        <w:trPr>
          <w:trHeight w:val="218"/>
        </w:trPr>
        <w:tc>
          <w:tcPr>
            <w:tcW w:w="4840" w:type="dxa"/>
            <w:tcBorders>
              <w:top w:val="nil"/>
              <w:left w:val="single" w:sz="4" w:space="0" w:color="auto"/>
              <w:bottom w:val="nil"/>
              <w:right w:val="nil"/>
            </w:tcBorders>
            <w:shd w:val="clear" w:color="auto" w:fill="auto"/>
            <w:noWrap/>
            <w:vAlign w:val="bottom"/>
            <w:hideMark/>
          </w:tcPr>
          <w:p w14:paraId="76484CFA" w14:textId="1DAA86F9" w:rsidR="002074F6" w:rsidRPr="006961D2" w:rsidRDefault="002074F6" w:rsidP="002074F6">
            <w:pPr>
              <w:keepNext/>
              <w:keepLines/>
              <w:spacing w:before="80" w:after="80" w:line="250" w:lineRule="exact"/>
              <w:ind w:right="-52"/>
              <w:outlineLvl w:val="0"/>
              <w:rPr>
                <w:bCs/>
                <w:sz w:val="20"/>
                <w:szCs w:val="24"/>
                <w:lang w:val="tr-TR"/>
              </w:rPr>
            </w:pPr>
            <w:r w:rsidRPr="006961D2">
              <w:rPr>
                <w:bCs/>
                <w:sz w:val="20"/>
                <w:szCs w:val="24"/>
                <w:lang w:val="tr-TR"/>
              </w:rPr>
              <w:t>Net Ücret ve Komisyonlar</w:t>
            </w:r>
          </w:p>
        </w:tc>
        <w:tc>
          <w:tcPr>
            <w:tcW w:w="2246" w:type="dxa"/>
            <w:tcBorders>
              <w:top w:val="nil"/>
              <w:left w:val="nil"/>
              <w:bottom w:val="nil"/>
              <w:right w:val="nil"/>
            </w:tcBorders>
            <w:shd w:val="clear" w:color="auto" w:fill="auto"/>
            <w:noWrap/>
            <w:hideMark/>
          </w:tcPr>
          <w:p w14:paraId="4EBE1785" w14:textId="156AAF4C"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3,206,043 </w:t>
            </w:r>
          </w:p>
        </w:tc>
        <w:tc>
          <w:tcPr>
            <w:tcW w:w="1630" w:type="dxa"/>
            <w:tcBorders>
              <w:top w:val="nil"/>
              <w:left w:val="nil"/>
              <w:bottom w:val="nil"/>
              <w:right w:val="nil"/>
            </w:tcBorders>
            <w:shd w:val="clear" w:color="auto" w:fill="auto"/>
            <w:noWrap/>
            <w:hideMark/>
          </w:tcPr>
          <w:p w14:paraId="6D99172A" w14:textId="2C926FC2"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2,067,219 </w:t>
            </w:r>
          </w:p>
        </w:tc>
        <w:tc>
          <w:tcPr>
            <w:tcW w:w="1091" w:type="dxa"/>
            <w:tcBorders>
              <w:top w:val="nil"/>
              <w:left w:val="nil"/>
              <w:bottom w:val="nil"/>
              <w:right w:val="single" w:sz="4" w:space="0" w:color="auto"/>
            </w:tcBorders>
            <w:shd w:val="clear" w:color="auto" w:fill="auto"/>
            <w:noWrap/>
            <w:hideMark/>
          </w:tcPr>
          <w:p w14:paraId="251A9BE6" w14:textId="1CFD46F9"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55.1</w:t>
            </w:r>
          </w:p>
        </w:tc>
      </w:tr>
      <w:tr w:rsidR="002074F6" w:rsidRPr="006961D2" w14:paraId="3C59D9CE" w14:textId="77777777" w:rsidTr="00C10467">
        <w:trPr>
          <w:trHeight w:val="218"/>
        </w:trPr>
        <w:tc>
          <w:tcPr>
            <w:tcW w:w="4840" w:type="dxa"/>
            <w:tcBorders>
              <w:top w:val="nil"/>
              <w:left w:val="single" w:sz="4" w:space="0" w:color="auto"/>
              <w:bottom w:val="single" w:sz="4" w:space="0" w:color="auto"/>
              <w:right w:val="nil"/>
            </w:tcBorders>
            <w:shd w:val="clear" w:color="auto" w:fill="auto"/>
            <w:noWrap/>
            <w:vAlign w:val="bottom"/>
            <w:hideMark/>
          </w:tcPr>
          <w:p w14:paraId="67EDCAAE" w14:textId="644EB8DD" w:rsidR="002074F6" w:rsidRPr="006961D2" w:rsidRDefault="002074F6" w:rsidP="002074F6">
            <w:pPr>
              <w:keepNext/>
              <w:keepLines/>
              <w:spacing w:before="80" w:after="80" w:line="250" w:lineRule="exact"/>
              <w:ind w:right="-52"/>
              <w:outlineLvl w:val="0"/>
              <w:rPr>
                <w:bCs/>
                <w:sz w:val="20"/>
                <w:szCs w:val="24"/>
                <w:lang w:val="tr-TR"/>
              </w:rPr>
            </w:pPr>
            <w:r>
              <w:rPr>
                <w:bCs/>
                <w:sz w:val="20"/>
                <w:szCs w:val="24"/>
                <w:lang w:val="tr-TR"/>
              </w:rPr>
              <w:t>Net Kâ</w:t>
            </w:r>
            <w:r w:rsidRPr="006961D2">
              <w:rPr>
                <w:bCs/>
                <w:sz w:val="20"/>
                <w:szCs w:val="24"/>
                <w:lang w:val="tr-TR"/>
              </w:rPr>
              <w:t>r</w:t>
            </w:r>
          </w:p>
        </w:tc>
        <w:tc>
          <w:tcPr>
            <w:tcW w:w="2246" w:type="dxa"/>
            <w:tcBorders>
              <w:top w:val="nil"/>
              <w:left w:val="nil"/>
              <w:bottom w:val="single" w:sz="4" w:space="0" w:color="auto"/>
              <w:right w:val="nil"/>
            </w:tcBorders>
            <w:shd w:val="clear" w:color="auto" w:fill="auto"/>
            <w:noWrap/>
            <w:hideMark/>
          </w:tcPr>
          <w:p w14:paraId="28855319" w14:textId="765200C0"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8,262,614 </w:t>
            </w:r>
          </w:p>
        </w:tc>
        <w:tc>
          <w:tcPr>
            <w:tcW w:w="1630" w:type="dxa"/>
            <w:tcBorders>
              <w:top w:val="nil"/>
              <w:left w:val="nil"/>
              <w:bottom w:val="single" w:sz="4" w:space="0" w:color="auto"/>
              <w:right w:val="nil"/>
            </w:tcBorders>
            <w:shd w:val="clear" w:color="auto" w:fill="auto"/>
            <w:noWrap/>
            <w:hideMark/>
          </w:tcPr>
          <w:p w14:paraId="1DD1B06A" w14:textId="1A82B00C" w:rsidR="002074F6" w:rsidRPr="00AF30A4" w:rsidRDefault="002074F6" w:rsidP="002074F6">
            <w:pPr>
              <w:keepNext/>
              <w:keepLines/>
              <w:spacing w:before="80" w:after="80" w:line="250" w:lineRule="exact"/>
              <w:ind w:right="-52"/>
              <w:jc w:val="right"/>
              <w:outlineLvl w:val="0"/>
              <w:rPr>
                <w:bCs/>
                <w:sz w:val="20"/>
                <w:szCs w:val="24"/>
                <w:lang w:val="tr-TR"/>
              </w:rPr>
            </w:pPr>
            <w:r w:rsidRPr="00AF30A4">
              <w:rPr>
                <w:sz w:val="20"/>
              </w:rPr>
              <w:t xml:space="preserve"> 2,697,476 </w:t>
            </w:r>
          </w:p>
        </w:tc>
        <w:tc>
          <w:tcPr>
            <w:tcW w:w="1091" w:type="dxa"/>
            <w:tcBorders>
              <w:top w:val="nil"/>
              <w:left w:val="nil"/>
              <w:bottom w:val="single" w:sz="4" w:space="0" w:color="auto"/>
              <w:right w:val="single" w:sz="4" w:space="0" w:color="auto"/>
            </w:tcBorders>
            <w:shd w:val="clear" w:color="auto" w:fill="auto"/>
            <w:noWrap/>
            <w:hideMark/>
          </w:tcPr>
          <w:p w14:paraId="10698D2E" w14:textId="335E5056" w:rsidR="002074F6" w:rsidRPr="00AF30A4" w:rsidRDefault="002074F6" w:rsidP="002074F6">
            <w:pPr>
              <w:keepNext/>
              <w:keepLines/>
              <w:spacing w:before="80" w:after="80" w:line="250" w:lineRule="exact"/>
              <w:ind w:right="-52"/>
              <w:jc w:val="right"/>
              <w:outlineLvl w:val="0"/>
              <w:rPr>
                <w:bCs/>
                <w:sz w:val="20"/>
                <w:szCs w:val="24"/>
                <w:lang w:val="tr-TR"/>
              </w:rPr>
            </w:pPr>
            <w:r>
              <w:rPr>
                <w:sz w:val="20"/>
              </w:rPr>
              <w:t>%</w:t>
            </w:r>
            <w:r w:rsidRPr="00AF30A4">
              <w:rPr>
                <w:sz w:val="20"/>
              </w:rPr>
              <w:t>206.3</w:t>
            </w:r>
          </w:p>
        </w:tc>
      </w:tr>
      <w:tr w:rsidR="002074F6" w:rsidRPr="006961D2" w14:paraId="16B1ECB0" w14:textId="77777777" w:rsidTr="00C10467">
        <w:trPr>
          <w:trHeight w:val="218"/>
        </w:trPr>
        <w:tc>
          <w:tcPr>
            <w:tcW w:w="4840" w:type="dxa"/>
            <w:tcBorders>
              <w:top w:val="nil"/>
              <w:left w:val="nil"/>
              <w:bottom w:val="nil"/>
              <w:right w:val="nil"/>
            </w:tcBorders>
            <w:shd w:val="clear" w:color="auto" w:fill="auto"/>
            <w:noWrap/>
            <w:vAlign w:val="bottom"/>
            <w:hideMark/>
          </w:tcPr>
          <w:p w14:paraId="5E05813C" w14:textId="77777777" w:rsidR="002074F6" w:rsidRPr="006961D2" w:rsidRDefault="002074F6" w:rsidP="00C10467">
            <w:pPr>
              <w:jc w:val="center"/>
              <w:rPr>
                <w:rFonts w:ascii="Arial" w:hAnsi="Arial" w:cs="Arial"/>
                <w:color w:val="000000"/>
                <w:sz w:val="20"/>
                <w:lang w:val="tr-TR"/>
              </w:rPr>
            </w:pPr>
          </w:p>
        </w:tc>
        <w:tc>
          <w:tcPr>
            <w:tcW w:w="2246" w:type="dxa"/>
            <w:tcBorders>
              <w:top w:val="nil"/>
              <w:left w:val="nil"/>
              <w:bottom w:val="nil"/>
              <w:right w:val="nil"/>
            </w:tcBorders>
            <w:shd w:val="clear" w:color="auto" w:fill="auto"/>
            <w:noWrap/>
            <w:vAlign w:val="bottom"/>
            <w:hideMark/>
          </w:tcPr>
          <w:p w14:paraId="143BCCFE" w14:textId="77777777" w:rsidR="002074F6" w:rsidRPr="006961D2" w:rsidRDefault="002074F6" w:rsidP="00C10467">
            <w:pPr>
              <w:jc w:val="right"/>
              <w:rPr>
                <w:sz w:val="20"/>
                <w:lang w:val="tr-TR"/>
              </w:rPr>
            </w:pPr>
          </w:p>
        </w:tc>
        <w:tc>
          <w:tcPr>
            <w:tcW w:w="1630" w:type="dxa"/>
            <w:tcBorders>
              <w:top w:val="nil"/>
              <w:left w:val="nil"/>
              <w:bottom w:val="nil"/>
              <w:right w:val="nil"/>
            </w:tcBorders>
            <w:shd w:val="clear" w:color="auto" w:fill="auto"/>
            <w:noWrap/>
            <w:vAlign w:val="bottom"/>
            <w:hideMark/>
          </w:tcPr>
          <w:p w14:paraId="5533D8DB" w14:textId="77777777" w:rsidR="002074F6" w:rsidRPr="006961D2" w:rsidRDefault="002074F6" w:rsidP="00C10467">
            <w:pPr>
              <w:jc w:val="right"/>
              <w:rPr>
                <w:sz w:val="20"/>
                <w:lang w:val="tr-TR"/>
              </w:rPr>
            </w:pPr>
          </w:p>
        </w:tc>
        <w:tc>
          <w:tcPr>
            <w:tcW w:w="1091" w:type="dxa"/>
            <w:tcBorders>
              <w:top w:val="nil"/>
              <w:left w:val="nil"/>
              <w:bottom w:val="nil"/>
              <w:right w:val="nil"/>
            </w:tcBorders>
            <w:shd w:val="clear" w:color="auto" w:fill="auto"/>
            <w:noWrap/>
            <w:vAlign w:val="bottom"/>
            <w:hideMark/>
          </w:tcPr>
          <w:p w14:paraId="41132652" w14:textId="77777777" w:rsidR="002074F6" w:rsidRPr="006961D2" w:rsidRDefault="002074F6" w:rsidP="00C10467">
            <w:pPr>
              <w:jc w:val="right"/>
              <w:rPr>
                <w:sz w:val="20"/>
                <w:lang w:val="tr-TR"/>
              </w:rPr>
            </w:pPr>
          </w:p>
        </w:tc>
      </w:tr>
    </w:tbl>
    <w:p w14:paraId="68558A36" w14:textId="77777777" w:rsidR="007D2CB7" w:rsidRPr="00E9304D" w:rsidRDefault="007D2CB7" w:rsidP="00397F4F">
      <w:pPr>
        <w:ind w:hanging="2"/>
        <w:rPr>
          <w:sz w:val="24"/>
          <w:lang w:val="tr-TR"/>
        </w:rPr>
      </w:pPr>
    </w:p>
    <w:p w14:paraId="34A42F8F" w14:textId="67F416E6" w:rsidR="007D2CB7" w:rsidRPr="00E9304D" w:rsidRDefault="00F9259B">
      <w:pPr>
        <w:ind w:hanging="2"/>
        <w:jc w:val="both"/>
        <w:rPr>
          <w:sz w:val="24"/>
          <w:lang w:val="tr-TR"/>
        </w:rPr>
      </w:pPr>
      <w:r w:rsidRPr="00E9304D">
        <w:rPr>
          <w:i/>
          <w:sz w:val="24"/>
          <w:lang w:val="tr-TR"/>
        </w:rPr>
        <w:t xml:space="preserve">Garanti BBVA’nın 31 </w:t>
      </w:r>
      <w:r w:rsidR="00923695" w:rsidRPr="00E9304D">
        <w:rPr>
          <w:i/>
          <w:sz w:val="24"/>
          <w:lang w:val="tr-TR"/>
        </w:rPr>
        <w:t>Mart 2022</w:t>
      </w:r>
      <w:r w:rsidRPr="00E9304D">
        <w:rPr>
          <w:i/>
          <w:sz w:val="24"/>
          <w:lang w:val="tr-TR"/>
        </w:rPr>
        <w:t xml:space="preserve"> yılına ait BDDK konsolide finansal sonuçlarına ilişkin Türkçe sunuma </w:t>
      </w:r>
      <w:hyperlink r:id="rId8">
        <w:r w:rsidRPr="00E9304D">
          <w:rPr>
            <w:i/>
            <w:sz w:val="24"/>
            <w:u w:val="single"/>
            <w:lang w:val="tr-TR"/>
          </w:rPr>
          <w:t>www.garantibbvayatirimciiliskileri.com</w:t>
        </w:r>
      </w:hyperlink>
      <w:r w:rsidRPr="00E9304D">
        <w:rPr>
          <w:i/>
          <w:sz w:val="24"/>
          <w:lang w:val="tr-TR"/>
        </w:rPr>
        <w:t xml:space="preserve"> adresindeki Garanti BBVA Yatırımcı İlişkileri web sitesinden ulaşabilirsiniz.</w:t>
      </w:r>
    </w:p>
    <w:p w14:paraId="19C147AF" w14:textId="77777777" w:rsidR="007D2CB7" w:rsidRPr="00E9304D" w:rsidRDefault="007D2CB7" w:rsidP="00E67A25">
      <w:pPr>
        <w:ind w:hanging="2"/>
        <w:rPr>
          <w:sz w:val="24"/>
          <w:lang w:val="tr-TR"/>
        </w:rPr>
      </w:pPr>
    </w:p>
    <w:p w14:paraId="44B3DCB3" w14:textId="77777777" w:rsidR="00EE201B" w:rsidRPr="00E9304D" w:rsidRDefault="00EE201B" w:rsidP="00EE201B">
      <w:pPr>
        <w:ind w:firstLine="0"/>
        <w:rPr>
          <w:b/>
          <w:sz w:val="24"/>
          <w:lang w:val="tr-TR"/>
        </w:rPr>
      </w:pPr>
    </w:p>
    <w:p w14:paraId="253E7D5C" w14:textId="62D0DFAA" w:rsidR="007D2CB7" w:rsidRPr="00E9304D" w:rsidRDefault="00F9259B" w:rsidP="00597652">
      <w:pPr>
        <w:ind w:hanging="2"/>
        <w:rPr>
          <w:sz w:val="24"/>
          <w:lang w:val="tr-TR"/>
        </w:rPr>
      </w:pPr>
      <w:r w:rsidRPr="00E9304D">
        <w:rPr>
          <w:b/>
          <w:sz w:val="24"/>
          <w:lang w:val="tr-TR"/>
        </w:rPr>
        <w:t>Hesap Dönemine Ait Faaliyet Sonuçlarına İlişkin Özet Finansal Bilgiler</w:t>
      </w:r>
    </w:p>
    <w:p w14:paraId="695BEDD6" w14:textId="77777777" w:rsidR="007D2CB7" w:rsidRPr="00E9304D" w:rsidRDefault="007D2CB7">
      <w:pPr>
        <w:keepLines/>
        <w:ind w:firstLine="0"/>
        <w:rPr>
          <w:sz w:val="24"/>
          <w:lang w:val="tr-TR"/>
        </w:rPr>
      </w:pPr>
    </w:p>
    <w:p w14:paraId="06C02C86" w14:textId="65346274" w:rsidR="007D2CB7" w:rsidRPr="00E9304D" w:rsidRDefault="00923695" w:rsidP="007C3822">
      <w:pPr>
        <w:keepLines/>
        <w:numPr>
          <w:ilvl w:val="0"/>
          <w:numId w:val="1"/>
        </w:numPr>
        <w:ind w:left="0" w:hanging="2"/>
        <w:rPr>
          <w:sz w:val="24"/>
          <w:lang w:val="tr-TR"/>
        </w:rPr>
      </w:pPr>
      <w:r w:rsidRPr="00E9304D">
        <w:rPr>
          <w:sz w:val="24"/>
          <w:lang w:val="tr-TR"/>
        </w:rPr>
        <w:lastRenderedPageBreak/>
        <w:t>Ortalama aktif kârlılığı %4</w:t>
      </w:r>
      <w:r w:rsidR="00F9259B" w:rsidRPr="00E9304D">
        <w:rPr>
          <w:sz w:val="24"/>
          <w:lang w:val="tr-TR"/>
        </w:rPr>
        <w:t xml:space="preserve"> oldu.</w:t>
      </w:r>
    </w:p>
    <w:p w14:paraId="1578B4DF" w14:textId="77777777" w:rsidR="007D2CB7" w:rsidRPr="00E9304D" w:rsidRDefault="007D2CB7" w:rsidP="00397F4F">
      <w:pPr>
        <w:keepLines/>
        <w:ind w:hanging="2"/>
        <w:rPr>
          <w:sz w:val="24"/>
          <w:lang w:val="tr-TR"/>
        </w:rPr>
      </w:pPr>
    </w:p>
    <w:p w14:paraId="52BF9E96" w14:textId="4CA00733" w:rsidR="007D2CB7" w:rsidRPr="00E9304D" w:rsidRDefault="00F9259B" w:rsidP="007C3822">
      <w:pPr>
        <w:keepLines/>
        <w:numPr>
          <w:ilvl w:val="0"/>
          <w:numId w:val="1"/>
        </w:numPr>
        <w:ind w:left="0" w:hanging="2"/>
        <w:rPr>
          <w:sz w:val="24"/>
          <w:lang w:val="tr-TR"/>
        </w:rPr>
      </w:pPr>
      <w:r w:rsidRPr="00E9304D">
        <w:rPr>
          <w:sz w:val="24"/>
          <w:lang w:val="tr-TR"/>
        </w:rPr>
        <w:t xml:space="preserve">Ortalama özkaynak kârlılığı </w:t>
      </w:r>
      <w:r w:rsidR="00CA74E3" w:rsidRPr="00E9304D">
        <w:rPr>
          <w:sz w:val="24"/>
          <w:highlight w:val="white"/>
          <w:lang w:val="tr-TR"/>
        </w:rPr>
        <w:t>%38</w:t>
      </w:r>
      <w:r w:rsidRPr="00E9304D">
        <w:rPr>
          <w:sz w:val="24"/>
          <w:highlight w:val="white"/>
          <w:lang w:val="tr-TR"/>
        </w:rPr>
        <w:t xml:space="preserve"> seviyesinde gerçekleşti.</w:t>
      </w:r>
    </w:p>
    <w:p w14:paraId="1C33B696" w14:textId="77777777" w:rsidR="007D2CB7" w:rsidRPr="00E9304D" w:rsidRDefault="007D2CB7" w:rsidP="00397F4F">
      <w:pPr>
        <w:keepLines/>
        <w:ind w:hanging="2"/>
        <w:rPr>
          <w:sz w:val="24"/>
          <w:lang w:val="tr-TR"/>
        </w:rPr>
      </w:pPr>
    </w:p>
    <w:p w14:paraId="06F06705" w14:textId="78C97544" w:rsidR="007D2CB7" w:rsidRPr="00E9304D" w:rsidRDefault="00F9259B" w:rsidP="007C3822">
      <w:pPr>
        <w:keepLines/>
        <w:numPr>
          <w:ilvl w:val="0"/>
          <w:numId w:val="1"/>
        </w:numPr>
        <w:ind w:left="0" w:hanging="2"/>
        <w:rPr>
          <w:sz w:val="24"/>
          <w:lang w:val="tr-TR"/>
        </w:rPr>
      </w:pPr>
      <w:r w:rsidRPr="00E9304D">
        <w:rPr>
          <w:sz w:val="24"/>
          <w:lang w:val="tr-TR"/>
        </w:rPr>
        <w:t>Ekonomiye nakdi ve gayri nakdi krediler</w:t>
      </w:r>
      <w:r w:rsidRPr="00E9304D">
        <w:rPr>
          <w:b/>
          <w:sz w:val="24"/>
          <w:lang w:val="tr-TR"/>
        </w:rPr>
        <w:t xml:space="preserve"> </w:t>
      </w:r>
      <w:r w:rsidRPr="00E9304D">
        <w:rPr>
          <w:sz w:val="24"/>
          <w:lang w:val="tr-TR"/>
        </w:rPr>
        <w:t xml:space="preserve">aracılığıyla sağladığı destek </w:t>
      </w:r>
      <w:r w:rsidR="00CA74E3" w:rsidRPr="00E9304D">
        <w:rPr>
          <w:sz w:val="24"/>
          <w:lang w:val="tr-TR"/>
        </w:rPr>
        <w:t>712 milyar 12 milyon 529 bin TL</w:t>
      </w:r>
      <w:r w:rsidRPr="00E9304D">
        <w:rPr>
          <w:sz w:val="24"/>
          <w:lang w:val="tr-TR"/>
        </w:rPr>
        <w:t xml:space="preserve"> oldu.</w:t>
      </w:r>
      <w:r w:rsidRPr="00E9304D">
        <w:rPr>
          <w:sz w:val="24"/>
          <w:lang w:val="tr-TR"/>
        </w:rPr>
        <w:tab/>
      </w:r>
    </w:p>
    <w:p w14:paraId="4FACEC14" w14:textId="77777777" w:rsidR="007D2CB7" w:rsidRPr="00E9304D" w:rsidRDefault="007D2CB7" w:rsidP="00397F4F">
      <w:pPr>
        <w:keepLines/>
        <w:ind w:hanging="2"/>
        <w:rPr>
          <w:sz w:val="24"/>
          <w:lang w:val="tr-TR"/>
        </w:rPr>
      </w:pPr>
    </w:p>
    <w:p w14:paraId="37E99D1F" w14:textId="63C2B83D" w:rsidR="007D2CB7" w:rsidRPr="00E9304D" w:rsidRDefault="00F9259B" w:rsidP="007C3822">
      <w:pPr>
        <w:keepLines/>
        <w:numPr>
          <w:ilvl w:val="0"/>
          <w:numId w:val="1"/>
        </w:numPr>
        <w:ind w:left="0" w:hanging="2"/>
        <w:rPr>
          <w:sz w:val="24"/>
          <w:lang w:val="tr-TR"/>
        </w:rPr>
      </w:pPr>
      <w:r w:rsidRPr="00E9304D">
        <w:rPr>
          <w:sz w:val="24"/>
          <w:lang w:val="tr-TR"/>
        </w:rPr>
        <w:t>Toplam canlı krediler, TL krediler ve YP kred</w:t>
      </w:r>
      <w:r w:rsidR="00CA74E3" w:rsidRPr="00E9304D">
        <w:rPr>
          <w:sz w:val="24"/>
          <w:lang w:val="tr-TR"/>
        </w:rPr>
        <w:t>iler pazar payları sırasıyla %10</w:t>
      </w:r>
      <w:r w:rsidR="00E67A25" w:rsidRPr="00E9304D">
        <w:rPr>
          <w:sz w:val="24"/>
          <w:lang w:val="tr-TR"/>
        </w:rPr>
        <w:t>,</w:t>
      </w:r>
      <w:r w:rsidR="00CA74E3" w:rsidRPr="00E9304D">
        <w:rPr>
          <w:sz w:val="24"/>
          <w:lang w:val="tr-TR"/>
        </w:rPr>
        <w:t>1</w:t>
      </w:r>
      <w:r w:rsidR="00A309D6" w:rsidRPr="00E9304D">
        <w:rPr>
          <w:sz w:val="24"/>
          <w:lang w:val="tr-TR"/>
        </w:rPr>
        <w:t>, %10</w:t>
      </w:r>
      <w:r w:rsidR="00E67A25" w:rsidRPr="00E9304D">
        <w:rPr>
          <w:sz w:val="24"/>
          <w:lang w:val="tr-TR"/>
        </w:rPr>
        <w:t>,</w:t>
      </w:r>
      <w:r w:rsidR="00CA74E3" w:rsidRPr="00E9304D">
        <w:rPr>
          <w:sz w:val="24"/>
          <w:lang w:val="tr-TR"/>
        </w:rPr>
        <w:t>5</w:t>
      </w:r>
      <w:r w:rsidR="00602218" w:rsidRPr="00E9304D">
        <w:rPr>
          <w:sz w:val="24"/>
          <w:lang w:val="tr-TR"/>
        </w:rPr>
        <w:t xml:space="preserve"> ve %9,</w:t>
      </w:r>
      <w:r w:rsidR="00CA74E3" w:rsidRPr="00E9304D">
        <w:rPr>
          <w:sz w:val="24"/>
          <w:lang w:val="tr-TR"/>
        </w:rPr>
        <w:t>3</w:t>
      </w:r>
      <w:r w:rsidRPr="00E9304D">
        <w:rPr>
          <w:sz w:val="24"/>
          <w:lang w:val="tr-TR"/>
        </w:rPr>
        <w:t xml:space="preserve"> seviyesinde gerçekleşti.</w:t>
      </w:r>
    </w:p>
    <w:p w14:paraId="183D90A5" w14:textId="77777777" w:rsidR="007D2CB7" w:rsidRPr="00E9304D" w:rsidRDefault="007D2CB7" w:rsidP="00397F4F">
      <w:pPr>
        <w:keepLines/>
        <w:ind w:hanging="2"/>
        <w:rPr>
          <w:sz w:val="24"/>
          <w:highlight w:val="lightGray"/>
          <w:lang w:val="tr-TR"/>
        </w:rPr>
      </w:pPr>
    </w:p>
    <w:p w14:paraId="0CE2D061" w14:textId="06CCBD9C" w:rsidR="007D2CB7" w:rsidRPr="00E9304D" w:rsidRDefault="00F9259B" w:rsidP="007C3822">
      <w:pPr>
        <w:keepLines/>
        <w:numPr>
          <w:ilvl w:val="0"/>
          <w:numId w:val="1"/>
        </w:numPr>
        <w:ind w:left="0" w:hanging="2"/>
        <w:rPr>
          <w:sz w:val="24"/>
          <w:lang w:val="tr-TR"/>
        </w:rPr>
      </w:pPr>
      <w:r w:rsidRPr="00E9304D">
        <w:rPr>
          <w:sz w:val="24"/>
          <w:lang w:val="tr-TR"/>
        </w:rPr>
        <w:t>Yılbaşından bu yan</w:t>
      </w:r>
      <w:r w:rsidR="00CA74E3" w:rsidRPr="00E9304D">
        <w:rPr>
          <w:sz w:val="24"/>
          <w:lang w:val="tr-TR"/>
        </w:rPr>
        <w:t>a toplam müşteri mevduatları %1</w:t>
      </w:r>
      <w:r w:rsidR="00FC5E52">
        <w:rPr>
          <w:sz w:val="24"/>
          <w:lang w:val="tr-TR"/>
        </w:rPr>
        <w:t>2</w:t>
      </w:r>
      <w:r w:rsidR="00A309D6" w:rsidRPr="00E9304D">
        <w:rPr>
          <w:sz w:val="24"/>
          <w:lang w:val="tr-TR"/>
        </w:rPr>
        <w:t xml:space="preserve"> büyüdü ve pazar payı %10</w:t>
      </w:r>
      <w:r w:rsidR="00E67A25" w:rsidRPr="00E9304D">
        <w:rPr>
          <w:sz w:val="24"/>
          <w:lang w:val="tr-TR"/>
        </w:rPr>
        <w:t>,</w:t>
      </w:r>
      <w:r w:rsidR="00CA74E3" w:rsidRPr="00E9304D">
        <w:rPr>
          <w:sz w:val="24"/>
          <w:lang w:val="tr-TR"/>
        </w:rPr>
        <w:t>8</w:t>
      </w:r>
      <w:r w:rsidRPr="00E9304D">
        <w:rPr>
          <w:sz w:val="24"/>
          <w:lang w:val="tr-TR"/>
        </w:rPr>
        <w:t xml:space="preserve"> seviyesine geldi.</w:t>
      </w:r>
    </w:p>
    <w:p w14:paraId="7460C2D2" w14:textId="77777777" w:rsidR="007D2CB7" w:rsidRPr="00E9304D" w:rsidRDefault="007D2CB7" w:rsidP="00397F4F">
      <w:pPr>
        <w:pBdr>
          <w:top w:val="nil"/>
          <w:left w:val="nil"/>
          <w:bottom w:val="nil"/>
          <w:right w:val="nil"/>
          <w:between w:val="nil"/>
        </w:pBdr>
        <w:ind w:hanging="2"/>
        <w:rPr>
          <w:sz w:val="24"/>
          <w:highlight w:val="lightGray"/>
          <w:lang w:val="tr-TR"/>
        </w:rPr>
      </w:pPr>
    </w:p>
    <w:p w14:paraId="3F1EEB39" w14:textId="200589B8" w:rsidR="007D2CB7" w:rsidRPr="00E9304D" w:rsidRDefault="00F9259B" w:rsidP="007C3822">
      <w:pPr>
        <w:keepLines/>
        <w:numPr>
          <w:ilvl w:val="0"/>
          <w:numId w:val="1"/>
        </w:numPr>
        <w:ind w:left="0" w:hanging="2"/>
        <w:rPr>
          <w:sz w:val="24"/>
          <w:lang w:val="tr-TR"/>
        </w:rPr>
      </w:pPr>
      <w:r w:rsidRPr="00E9304D">
        <w:rPr>
          <w:sz w:val="24"/>
          <w:lang w:val="tr-TR"/>
        </w:rPr>
        <w:t>Vadesiz mevduatların, top</w:t>
      </w:r>
      <w:r w:rsidR="00CA74E3" w:rsidRPr="00E9304D">
        <w:rPr>
          <w:sz w:val="24"/>
          <w:lang w:val="tr-TR"/>
        </w:rPr>
        <w:t>lam mevduatlar içindeki payı %50</w:t>
      </w:r>
      <w:r w:rsidRPr="00E9304D">
        <w:rPr>
          <w:sz w:val="24"/>
          <w:lang w:val="tr-TR"/>
        </w:rPr>
        <w:t>’</w:t>
      </w:r>
      <w:r w:rsidR="00CA74E3" w:rsidRPr="00E9304D">
        <w:rPr>
          <w:sz w:val="24"/>
          <w:lang w:val="tr-TR"/>
        </w:rPr>
        <w:t>y</w:t>
      </w:r>
      <w:r w:rsidRPr="00E9304D">
        <w:rPr>
          <w:sz w:val="24"/>
          <w:lang w:val="tr-TR"/>
        </w:rPr>
        <w:t xml:space="preserve">e ulaştı. </w:t>
      </w:r>
    </w:p>
    <w:p w14:paraId="2032CA24" w14:textId="77777777" w:rsidR="007D2CB7" w:rsidRPr="00E9304D" w:rsidRDefault="007D2CB7" w:rsidP="00397F4F">
      <w:pPr>
        <w:pBdr>
          <w:top w:val="nil"/>
          <w:left w:val="nil"/>
          <w:bottom w:val="nil"/>
          <w:right w:val="nil"/>
          <w:between w:val="nil"/>
        </w:pBdr>
        <w:ind w:hanging="2"/>
        <w:rPr>
          <w:sz w:val="24"/>
          <w:lang w:val="tr-TR"/>
        </w:rPr>
      </w:pPr>
    </w:p>
    <w:p w14:paraId="57819826" w14:textId="22203923" w:rsidR="007D2CB7" w:rsidRPr="00E9304D" w:rsidRDefault="006E1F92" w:rsidP="007C3822">
      <w:pPr>
        <w:keepLines/>
        <w:numPr>
          <w:ilvl w:val="0"/>
          <w:numId w:val="1"/>
        </w:numPr>
        <w:ind w:left="0" w:hanging="2"/>
        <w:rPr>
          <w:sz w:val="24"/>
          <w:lang w:val="tr-TR"/>
        </w:rPr>
      </w:pPr>
      <w:r w:rsidRPr="00E9304D">
        <w:rPr>
          <w:sz w:val="24"/>
          <w:lang w:val="tr-TR"/>
        </w:rPr>
        <w:t>Sermaye yeterlilik oranı %12,2</w:t>
      </w:r>
      <w:r w:rsidR="00F9259B" w:rsidRPr="00E9304D">
        <w:rPr>
          <w:sz w:val="24"/>
          <w:lang w:val="tr-TR"/>
        </w:rPr>
        <w:t xml:space="preserve"> ol</w:t>
      </w:r>
      <w:r w:rsidR="00CA74E3" w:rsidRPr="00E9304D">
        <w:rPr>
          <w:sz w:val="24"/>
          <w:lang w:val="tr-TR"/>
        </w:rPr>
        <w:t>an yasal limitlerin üzerinde %14,83</w:t>
      </w:r>
      <w:r w:rsidR="00F9259B" w:rsidRPr="00E9304D">
        <w:rPr>
          <w:sz w:val="24"/>
          <w:lang w:val="tr-TR"/>
        </w:rPr>
        <w:t>* seviyesinde gerçekleşti</w:t>
      </w:r>
      <w:r w:rsidR="00CA74E3" w:rsidRPr="00E9304D">
        <w:rPr>
          <w:sz w:val="24"/>
          <w:lang w:val="tr-TR"/>
        </w:rPr>
        <w:t>.</w:t>
      </w:r>
    </w:p>
    <w:p w14:paraId="21B6D82D" w14:textId="77777777" w:rsidR="007D2CB7" w:rsidRPr="00E9304D" w:rsidRDefault="007D2CB7" w:rsidP="00397F4F">
      <w:pPr>
        <w:ind w:hanging="2"/>
        <w:rPr>
          <w:sz w:val="24"/>
          <w:lang w:val="tr-TR"/>
        </w:rPr>
      </w:pPr>
    </w:p>
    <w:p w14:paraId="7E8FFF2D" w14:textId="2E2B088D" w:rsidR="007D2CB7" w:rsidRPr="00E9304D" w:rsidRDefault="00CA74E3" w:rsidP="007C3822">
      <w:pPr>
        <w:numPr>
          <w:ilvl w:val="0"/>
          <w:numId w:val="1"/>
        </w:numPr>
        <w:ind w:left="0" w:hanging="2"/>
        <w:rPr>
          <w:sz w:val="24"/>
          <w:lang w:val="tr-TR"/>
        </w:rPr>
      </w:pPr>
      <w:r w:rsidRPr="00E9304D">
        <w:rPr>
          <w:sz w:val="24"/>
          <w:lang w:val="tr-TR"/>
        </w:rPr>
        <w:t>Donuk alacak oranı %3,3</w:t>
      </w:r>
      <w:r w:rsidR="00F9259B" w:rsidRPr="00E9304D">
        <w:rPr>
          <w:sz w:val="24"/>
          <w:lang w:val="tr-TR"/>
        </w:rPr>
        <w:t xml:space="preserve"> seviyesinde gerçekleşti.</w:t>
      </w:r>
    </w:p>
    <w:p w14:paraId="753D5077" w14:textId="77777777" w:rsidR="007D2CB7" w:rsidRPr="00E9304D" w:rsidRDefault="007D2CB7" w:rsidP="00397F4F">
      <w:pPr>
        <w:ind w:hanging="2"/>
        <w:rPr>
          <w:sz w:val="24"/>
          <w:highlight w:val="lightGray"/>
          <w:lang w:val="tr-TR"/>
        </w:rPr>
      </w:pPr>
    </w:p>
    <w:p w14:paraId="4C44CD75" w14:textId="77777777" w:rsidR="007D2CB7" w:rsidRPr="00E9304D" w:rsidRDefault="00F9259B">
      <w:pPr>
        <w:keepNext/>
        <w:keepLines/>
        <w:spacing w:before="80" w:after="80"/>
        <w:ind w:right="-52"/>
        <w:rPr>
          <w:rFonts w:ascii="Arial" w:eastAsia="Arial" w:hAnsi="Arial"/>
          <w:sz w:val="14"/>
          <w:lang w:val="tr-TR"/>
        </w:rPr>
      </w:pPr>
      <w:r w:rsidRPr="00E9304D">
        <w:rPr>
          <w:rFonts w:ascii="Arial" w:eastAsia="Arial" w:hAnsi="Arial"/>
          <w:i/>
          <w:sz w:val="14"/>
          <w:lang w:val="tr-TR"/>
        </w:rPr>
        <w:t xml:space="preserve">* BDDK’nın geçici önlemleri hariç </w:t>
      </w:r>
    </w:p>
    <w:p w14:paraId="068ACE76" w14:textId="77777777" w:rsidR="007D2CB7" w:rsidRPr="00E9304D" w:rsidRDefault="007D2CB7" w:rsidP="00397F4F">
      <w:pPr>
        <w:ind w:hanging="2"/>
        <w:rPr>
          <w:sz w:val="20"/>
          <w:lang w:val="tr-TR"/>
        </w:rPr>
      </w:pPr>
    </w:p>
    <w:sectPr w:rsidR="007D2CB7" w:rsidRPr="00E9304D" w:rsidSect="0017260F">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810"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FAF2" w14:textId="77777777" w:rsidR="00FD7917" w:rsidRDefault="00FD7917" w:rsidP="007C3822">
      <w:r>
        <w:separator/>
      </w:r>
    </w:p>
  </w:endnote>
  <w:endnote w:type="continuationSeparator" w:id="0">
    <w:p w14:paraId="499E6978" w14:textId="77777777" w:rsidR="00FD7917" w:rsidRDefault="00FD7917" w:rsidP="007C3822">
      <w:r>
        <w:continuationSeparator/>
      </w:r>
    </w:p>
  </w:endnote>
  <w:endnote w:type="continuationNotice" w:id="1">
    <w:p w14:paraId="22C2AFC1" w14:textId="77777777" w:rsidR="00FD7917" w:rsidRDefault="00FD7917" w:rsidP="007C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B191" w14:textId="77777777" w:rsidR="007D2CB7" w:rsidRPr="007C3822" w:rsidRDefault="007D2CB7" w:rsidP="007C3822">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24DB" w14:textId="77777777" w:rsidR="007D2CB7" w:rsidRPr="007C3822" w:rsidRDefault="007D2CB7" w:rsidP="007C3822">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264" w14:textId="37B056A2" w:rsidR="00EF1A3E" w:rsidRDefault="00EF1A3E" w:rsidP="00EF1A3E">
    <w:pPr>
      <w:pBdr>
        <w:top w:val="nil"/>
        <w:left w:val="nil"/>
        <w:bottom w:val="nil"/>
        <w:right w:val="nil"/>
        <w:between w:val="nil"/>
      </w:pBdr>
      <w:tabs>
        <w:tab w:val="center" w:pos="4536"/>
        <w:tab w:val="right" w:pos="9072"/>
      </w:tabs>
      <w:ind w:hanging="2"/>
      <w:rPr>
        <w:rFonts w:ascii="Tahoma" w:hAnsi="Tahoma" w:cs="Tahoma"/>
        <w:color w:val="000000"/>
        <w:sz w:val="20"/>
      </w:rPr>
    </w:pPr>
    <w:bookmarkStart w:id="17" w:name="DocumentMarkings1FooterFirstPage"/>
  </w:p>
  <w:p w14:paraId="6B69EB96" w14:textId="02F863A4" w:rsidR="00195F43" w:rsidRPr="00195F43" w:rsidRDefault="00EF1A3E" w:rsidP="00EF1A3E">
    <w:pPr>
      <w:pBdr>
        <w:top w:val="nil"/>
        <w:left w:val="nil"/>
        <w:bottom w:val="nil"/>
        <w:right w:val="nil"/>
        <w:between w:val="nil"/>
      </w:pBdr>
      <w:tabs>
        <w:tab w:val="center" w:pos="4536"/>
        <w:tab w:val="right" w:pos="9072"/>
      </w:tabs>
      <w:ind w:hanging="2"/>
      <w:rPr>
        <w:rFonts w:ascii="Tahoma" w:hAnsi="Tahoma" w:cs="Tahoma"/>
        <w:color w:val="000000"/>
        <w:sz w:val="20"/>
      </w:rPr>
    </w:pPr>
    <w:r w:rsidRPr="00EF1A3E">
      <w:rPr>
        <w:rFonts w:ascii="Tahoma" w:hAnsi="Tahoma" w:cs="Tahoma"/>
        <w:color w:val="000000"/>
        <w:sz w:val="16"/>
      </w:rPr>
      <w:t xml:space="preserve">Sınıflandırma: </w:t>
    </w:r>
    <w:r w:rsidRPr="00EF1A3E">
      <w:rPr>
        <w:rFonts w:ascii="Tahoma" w:hAnsi="Tahoma" w:cs="Tahoma"/>
        <w:b/>
        <w:color w:val="3333FF"/>
        <w:sz w:val="16"/>
      </w:rPr>
      <w:t>Dahili Kullanım</w:t>
    </w:r>
    <w:r w:rsidRPr="00EF1A3E">
      <w:rPr>
        <w:rFonts w:ascii="Tahoma" w:hAnsi="Tahoma" w:cs="Tahoma"/>
        <w:color w:val="000000"/>
        <w:sz w:val="17"/>
      </w:rPr>
      <w:t xml:space="preserve"> </w:t>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142B" w14:textId="77777777" w:rsidR="00FD7917" w:rsidRDefault="00FD7917" w:rsidP="007C3822">
      <w:r>
        <w:separator/>
      </w:r>
    </w:p>
  </w:footnote>
  <w:footnote w:type="continuationSeparator" w:id="0">
    <w:p w14:paraId="72FE1F82" w14:textId="77777777" w:rsidR="00FD7917" w:rsidRDefault="00FD7917" w:rsidP="007C3822">
      <w:r>
        <w:continuationSeparator/>
      </w:r>
    </w:p>
  </w:footnote>
  <w:footnote w:type="continuationNotice" w:id="1">
    <w:p w14:paraId="4CC6B40A" w14:textId="77777777" w:rsidR="00FD7917" w:rsidRDefault="00FD7917" w:rsidP="007C38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26E3" w14:textId="77777777" w:rsidR="007D2CB7" w:rsidRPr="007C3822" w:rsidRDefault="007D2CB7" w:rsidP="007C3822">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6172" w14:textId="77777777" w:rsidR="007D2CB7" w:rsidRPr="007C3822" w:rsidRDefault="007D2CB7" w:rsidP="007C3822">
    <w:pPr>
      <w:pBdr>
        <w:top w:val="nil"/>
        <w:left w:val="nil"/>
        <w:bottom w:val="nil"/>
        <w:right w:val="nil"/>
        <w:between w:val="nil"/>
      </w:pBdr>
      <w:tabs>
        <w:tab w:val="center" w:pos="4536"/>
        <w:tab w:val="right" w:pos="9072"/>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4CE0" w14:textId="77777777" w:rsidR="007D2CB7" w:rsidRPr="007C3822" w:rsidRDefault="007D2CB7" w:rsidP="007C3822">
    <w:pPr>
      <w:pBdr>
        <w:top w:val="nil"/>
        <w:left w:val="nil"/>
        <w:bottom w:val="nil"/>
        <w:right w:val="nil"/>
        <w:between w:val="nil"/>
      </w:pBdr>
      <w:tabs>
        <w:tab w:val="center" w:pos="4536"/>
        <w:tab w:val="right" w:pos="9072"/>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58F"/>
    <w:multiLevelType w:val="multilevel"/>
    <w:tmpl w:val="0980D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BE33B5"/>
    <w:multiLevelType w:val="multilevel"/>
    <w:tmpl w:val="C5642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ECE76E8"/>
    <w:multiLevelType w:val="hybridMultilevel"/>
    <w:tmpl w:val="A47A6940"/>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7"/>
    <w:rsid w:val="000718E4"/>
    <w:rsid w:val="000773E6"/>
    <w:rsid w:val="00080864"/>
    <w:rsid w:val="000A5BC0"/>
    <w:rsid w:val="000B1AA0"/>
    <w:rsid w:val="000C16D6"/>
    <w:rsid w:val="000C7498"/>
    <w:rsid w:val="00103FAB"/>
    <w:rsid w:val="00104AB3"/>
    <w:rsid w:val="001312C9"/>
    <w:rsid w:val="00151E04"/>
    <w:rsid w:val="0017260F"/>
    <w:rsid w:val="00195F43"/>
    <w:rsid w:val="001A1319"/>
    <w:rsid w:val="001C0720"/>
    <w:rsid w:val="001E367C"/>
    <w:rsid w:val="002068F6"/>
    <w:rsid w:val="002074F6"/>
    <w:rsid w:val="002339A0"/>
    <w:rsid w:val="002A5928"/>
    <w:rsid w:val="00311637"/>
    <w:rsid w:val="00370DF3"/>
    <w:rsid w:val="003935C1"/>
    <w:rsid w:val="00397F4F"/>
    <w:rsid w:val="003B44E6"/>
    <w:rsid w:val="003C0123"/>
    <w:rsid w:val="003F6303"/>
    <w:rsid w:val="00406B83"/>
    <w:rsid w:val="004213AE"/>
    <w:rsid w:val="00472C22"/>
    <w:rsid w:val="00474A35"/>
    <w:rsid w:val="004A03CE"/>
    <w:rsid w:val="00507B07"/>
    <w:rsid w:val="00597652"/>
    <w:rsid w:val="005A0A95"/>
    <w:rsid w:val="005B0EC7"/>
    <w:rsid w:val="005E5B2B"/>
    <w:rsid w:val="00600971"/>
    <w:rsid w:val="00602218"/>
    <w:rsid w:val="006073B7"/>
    <w:rsid w:val="00613418"/>
    <w:rsid w:val="00644725"/>
    <w:rsid w:val="00670011"/>
    <w:rsid w:val="006C16B2"/>
    <w:rsid w:val="006D3035"/>
    <w:rsid w:val="006E1F92"/>
    <w:rsid w:val="00740E02"/>
    <w:rsid w:val="00745357"/>
    <w:rsid w:val="0077070C"/>
    <w:rsid w:val="00783B6B"/>
    <w:rsid w:val="00786E2B"/>
    <w:rsid w:val="0079617A"/>
    <w:rsid w:val="007C3822"/>
    <w:rsid w:val="007D2CB7"/>
    <w:rsid w:val="00815718"/>
    <w:rsid w:val="008166A2"/>
    <w:rsid w:val="00817B58"/>
    <w:rsid w:val="0087368B"/>
    <w:rsid w:val="00882EAC"/>
    <w:rsid w:val="00892CA7"/>
    <w:rsid w:val="008A3925"/>
    <w:rsid w:val="00914C66"/>
    <w:rsid w:val="00917B41"/>
    <w:rsid w:val="00923695"/>
    <w:rsid w:val="00931720"/>
    <w:rsid w:val="0093460F"/>
    <w:rsid w:val="00941BA6"/>
    <w:rsid w:val="00962925"/>
    <w:rsid w:val="00962E16"/>
    <w:rsid w:val="00970534"/>
    <w:rsid w:val="009912E1"/>
    <w:rsid w:val="0099683D"/>
    <w:rsid w:val="009C41A6"/>
    <w:rsid w:val="009D0F4F"/>
    <w:rsid w:val="009F7778"/>
    <w:rsid w:val="00A11ECC"/>
    <w:rsid w:val="00A16141"/>
    <w:rsid w:val="00A309D6"/>
    <w:rsid w:val="00A441C5"/>
    <w:rsid w:val="00A554C8"/>
    <w:rsid w:val="00A558DE"/>
    <w:rsid w:val="00A911F4"/>
    <w:rsid w:val="00AB0387"/>
    <w:rsid w:val="00AB267C"/>
    <w:rsid w:val="00AE0D1C"/>
    <w:rsid w:val="00B02A17"/>
    <w:rsid w:val="00B86430"/>
    <w:rsid w:val="00BA4B78"/>
    <w:rsid w:val="00BB0CAA"/>
    <w:rsid w:val="00BB1943"/>
    <w:rsid w:val="00BE648B"/>
    <w:rsid w:val="00BF11C0"/>
    <w:rsid w:val="00C15406"/>
    <w:rsid w:val="00C23BEC"/>
    <w:rsid w:val="00C348DC"/>
    <w:rsid w:val="00C72F58"/>
    <w:rsid w:val="00C7643E"/>
    <w:rsid w:val="00C80E9C"/>
    <w:rsid w:val="00C96141"/>
    <w:rsid w:val="00CA0263"/>
    <w:rsid w:val="00CA74E3"/>
    <w:rsid w:val="00CB772F"/>
    <w:rsid w:val="00CB7776"/>
    <w:rsid w:val="00CE6BA1"/>
    <w:rsid w:val="00D05BB0"/>
    <w:rsid w:val="00D1267F"/>
    <w:rsid w:val="00D63119"/>
    <w:rsid w:val="00D6334A"/>
    <w:rsid w:val="00DA0D9F"/>
    <w:rsid w:val="00E053B6"/>
    <w:rsid w:val="00E15869"/>
    <w:rsid w:val="00E1689B"/>
    <w:rsid w:val="00E33C9F"/>
    <w:rsid w:val="00E6165D"/>
    <w:rsid w:val="00E66C34"/>
    <w:rsid w:val="00E67A25"/>
    <w:rsid w:val="00E84BBD"/>
    <w:rsid w:val="00E87785"/>
    <w:rsid w:val="00E904A2"/>
    <w:rsid w:val="00E9304D"/>
    <w:rsid w:val="00E96903"/>
    <w:rsid w:val="00EB10B9"/>
    <w:rsid w:val="00EE201B"/>
    <w:rsid w:val="00EF1A3E"/>
    <w:rsid w:val="00F07495"/>
    <w:rsid w:val="00F9259B"/>
    <w:rsid w:val="00F9427D"/>
    <w:rsid w:val="00FA1A0C"/>
    <w:rsid w:val="00FC5E52"/>
    <w:rsid w:val="00FC6B9A"/>
    <w:rsid w:val="00FD40AF"/>
    <w:rsid w:val="00FD7917"/>
    <w:rsid w:val="00FE3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7F6C"/>
  <w15:docId w15:val="{C97752CD-1DFE-4B97-B1B5-DA60685A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7F4F"/>
  </w:style>
  <w:style w:type="paragraph" w:styleId="Heading1">
    <w:name w:val="heading 1"/>
    <w:basedOn w:val="Normal"/>
    <w:next w:val="Normal"/>
    <w:rsid w:val="00397F4F"/>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TableNormal10">
    <w:name w:val="Table Normal1"/>
    <w:rsid w:val="00397F4F"/>
    <w:pPr>
      <w:ind w:firstLine="0"/>
    </w:pPr>
    <w:rPr>
      <w:lang w:val="tr-TR"/>
    </w:rPr>
    <w:tblPr>
      <w:tblCellMar>
        <w:top w:w="0" w:type="dxa"/>
        <w:left w:w="0" w:type="dxa"/>
        <w:bottom w:w="0" w:type="dxa"/>
        <w:right w:w="0" w:type="dxa"/>
      </w:tblCellMar>
    </w:tblPr>
  </w:style>
  <w:style w:type="table" w:customStyle="1" w:styleId="TableNormal2">
    <w:name w:val="Table Normal2"/>
    <w:next w:val="TableNormal10"/>
    <w:qFormat/>
    <w:rsid w:val="00397F4F"/>
    <w:pPr>
      <w:suppressAutoHyphens/>
      <w:spacing w:line="1" w:lineRule="atLeast"/>
      <w:ind w:leftChars="-1" w:left="-1" w:hangingChars="1"/>
      <w:textDirection w:val="btLr"/>
      <w:textAlignment w:val="top"/>
      <w:outlineLvl w:val="0"/>
    </w:pPr>
    <w:rPr>
      <w:position w:val="-1"/>
      <w:lang w:val="tr-TR"/>
    </w:rPr>
    <w:tblPr>
      <w:tblInd w:w="0" w:type="dxa"/>
      <w:tblCellMar>
        <w:top w:w="0" w:type="dxa"/>
        <w:left w:w="108" w:type="dxa"/>
        <w:bottom w:w="0" w:type="dxa"/>
        <w:right w:w="108" w:type="dxa"/>
      </w:tblCellMar>
    </w:tblPr>
  </w:style>
  <w:style w:type="paragraph" w:styleId="NoSpacing">
    <w:name w:val="No Spacing"/>
    <w:rsid w:val="00397F4F"/>
    <w:pPr>
      <w:suppressAutoHyphens/>
      <w:spacing w:line="1" w:lineRule="atLeast"/>
      <w:ind w:leftChars="-1" w:left="-1" w:hangingChars="1"/>
      <w:textDirection w:val="btLr"/>
      <w:textAlignment w:val="top"/>
      <w:outlineLvl w:val="0"/>
    </w:pPr>
    <w:rPr>
      <w:position w:val="-1"/>
      <w:lang w:val="tr-TR" w:eastAsia="en-US"/>
    </w:rPr>
  </w:style>
  <w:style w:type="character" w:styleId="Hyperlink">
    <w:name w:val="Hyperlink"/>
    <w:rsid w:val="00397F4F"/>
    <w:rPr>
      <w:color w:val="0000FF"/>
      <w:w w:val="100"/>
      <w:position w:val="-1"/>
      <w:u w:val="single"/>
      <w:effect w:val="none"/>
      <w:vertAlign w:val="baseline"/>
      <w:cs w:val="0"/>
      <w:em w:val="none"/>
    </w:rPr>
  </w:style>
  <w:style w:type="paragraph" w:styleId="BodyText">
    <w:name w:val="Body Text"/>
    <w:basedOn w:val="Normal"/>
    <w:link w:val="BodyTextChar1"/>
    <w:rsid w:val="00397F4F"/>
    <w:pPr>
      <w:suppressAutoHyphens/>
      <w:spacing w:before="130" w:after="130" w:line="260" w:lineRule="atLeast"/>
      <w:ind w:leftChars="-1" w:left="-1" w:hangingChars="1"/>
      <w:textDirection w:val="btLr"/>
      <w:textAlignment w:val="top"/>
      <w:outlineLvl w:val="0"/>
    </w:pPr>
    <w:rPr>
      <w:position w:val="-1"/>
      <w:lang w:eastAsia="en-US"/>
    </w:rPr>
  </w:style>
  <w:style w:type="character" w:customStyle="1" w:styleId="BodyTextChar1">
    <w:name w:val="Body Text Char1"/>
    <w:basedOn w:val="DefaultParagraphFont"/>
    <w:link w:val="BodyText"/>
    <w:rsid w:val="00397F4F"/>
    <w:rPr>
      <w:position w:val="-1"/>
      <w:lang w:eastAsia="en-US"/>
    </w:rPr>
  </w:style>
  <w:style w:type="character" w:customStyle="1" w:styleId="BodyTextChar">
    <w:name w:val="Body Text Char"/>
    <w:rsid w:val="00397F4F"/>
    <w:rPr>
      <w:rFonts w:ascii="Times New Roman" w:eastAsia="Times New Roman" w:hAnsi="Times New Roman" w:cs="Times New Roman"/>
      <w:w w:val="100"/>
      <w:position w:val="-1"/>
      <w:szCs w:val="20"/>
      <w:effect w:val="none"/>
      <w:vertAlign w:val="baseline"/>
      <w:cs w:val="0"/>
      <w:em w:val="none"/>
      <w:lang w:val="en-GB"/>
    </w:rPr>
  </w:style>
  <w:style w:type="paragraph" w:customStyle="1" w:styleId="Default">
    <w:name w:val="Default"/>
    <w:basedOn w:val="Normal"/>
    <w:rsid w:val="00397F4F"/>
    <w:pPr>
      <w:suppressAutoHyphens/>
      <w:autoSpaceDE w:val="0"/>
      <w:autoSpaceDN w:val="0"/>
      <w:ind w:leftChars="-1" w:left="-1" w:hangingChars="1"/>
      <w:textDirection w:val="btLr"/>
      <w:textAlignment w:val="top"/>
      <w:outlineLvl w:val="0"/>
    </w:pPr>
    <w:rPr>
      <w:rFonts w:eastAsia="Calibri"/>
      <w:color w:val="000000"/>
      <w:position w:val="-1"/>
      <w:sz w:val="24"/>
      <w:szCs w:val="24"/>
      <w:lang w:val="tr-TR" w:eastAsia="en-US"/>
    </w:rPr>
  </w:style>
  <w:style w:type="paragraph" w:styleId="ListParagraph">
    <w:name w:val="List Paragraph"/>
    <w:basedOn w:val="Normal"/>
    <w:uiPriority w:val="34"/>
    <w:qFormat/>
    <w:rsid w:val="00397F4F"/>
    <w:pPr>
      <w:suppressAutoHyphens/>
      <w:spacing w:line="260" w:lineRule="atLeast"/>
      <w:ind w:leftChars="-1" w:left="720" w:hangingChars="1"/>
      <w:contextualSpacing/>
      <w:textDirection w:val="btLr"/>
      <w:textAlignment w:val="top"/>
      <w:outlineLvl w:val="0"/>
    </w:pPr>
    <w:rPr>
      <w:position w:val="-1"/>
      <w:lang w:eastAsia="en-US"/>
    </w:rPr>
  </w:style>
  <w:style w:type="paragraph" w:styleId="BalloonText">
    <w:name w:val="Balloon Text"/>
    <w:basedOn w:val="Normal"/>
    <w:link w:val="BalloonTextChar1"/>
    <w:qFormat/>
    <w:rsid w:val="00397F4F"/>
    <w:pPr>
      <w:suppressAutoHyphens/>
      <w:ind w:leftChars="-1" w:left="-1" w:hangingChars="1"/>
      <w:textDirection w:val="btLr"/>
      <w:textAlignment w:val="top"/>
      <w:outlineLvl w:val="0"/>
    </w:pPr>
    <w:rPr>
      <w:rFonts w:ascii="Segoe UI" w:hAnsi="Segoe UI" w:cs="Segoe UI"/>
      <w:position w:val="-1"/>
      <w:sz w:val="18"/>
      <w:szCs w:val="18"/>
      <w:lang w:eastAsia="en-US"/>
    </w:rPr>
  </w:style>
  <w:style w:type="character" w:customStyle="1" w:styleId="BalloonTextChar1">
    <w:name w:val="Balloon Text Char1"/>
    <w:basedOn w:val="DefaultParagraphFont"/>
    <w:link w:val="BalloonText"/>
    <w:rsid w:val="00397F4F"/>
    <w:rPr>
      <w:rFonts w:ascii="Segoe UI" w:hAnsi="Segoe UI" w:cs="Segoe UI"/>
      <w:position w:val="-1"/>
      <w:sz w:val="18"/>
      <w:szCs w:val="18"/>
      <w:lang w:eastAsia="en-US"/>
    </w:rPr>
  </w:style>
  <w:style w:type="character" w:customStyle="1" w:styleId="BalloonTextChar">
    <w:name w:val="Balloon Text Char"/>
    <w:rsid w:val="00397F4F"/>
    <w:rPr>
      <w:rFonts w:ascii="Segoe UI" w:eastAsia="Times New Roman" w:hAnsi="Segoe UI" w:cs="Segoe UI"/>
      <w:w w:val="100"/>
      <w:position w:val="-1"/>
      <w:sz w:val="18"/>
      <w:szCs w:val="18"/>
      <w:effect w:val="none"/>
      <w:vertAlign w:val="baseline"/>
      <w:cs w:val="0"/>
      <w:em w:val="none"/>
      <w:lang w:val="en-GB"/>
    </w:rPr>
  </w:style>
  <w:style w:type="character" w:customStyle="1" w:styleId="CommentReference1">
    <w:name w:val="Comment Reference1"/>
    <w:qFormat/>
    <w:rsid w:val="00397F4F"/>
    <w:rPr>
      <w:w w:val="100"/>
      <w:position w:val="-1"/>
      <w:sz w:val="16"/>
      <w:szCs w:val="16"/>
      <w:effect w:val="none"/>
      <w:vertAlign w:val="baseline"/>
      <w:cs w:val="0"/>
      <w:em w:val="none"/>
    </w:rPr>
  </w:style>
  <w:style w:type="paragraph" w:customStyle="1" w:styleId="CommentText1">
    <w:name w:val="Comment Text1"/>
    <w:basedOn w:val="Normal"/>
    <w:qFormat/>
    <w:rsid w:val="00397F4F"/>
    <w:pPr>
      <w:suppressAutoHyphens/>
      <w:spacing w:line="260" w:lineRule="atLeast"/>
      <w:ind w:leftChars="-1" w:left="-1" w:hangingChars="1"/>
      <w:textDirection w:val="btLr"/>
      <w:textAlignment w:val="top"/>
      <w:outlineLvl w:val="0"/>
    </w:pPr>
    <w:rPr>
      <w:position w:val="-1"/>
      <w:sz w:val="20"/>
      <w:lang w:eastAsia="en-US"/>
    </w:rPr>
  </w:style>
  <w:style w:type="character" w:customStyle="1" w:styleId="CommentTextChar">
    <w:name w:val="Comment Text Char"/>
    <w:rsid w:val="00397F4F"/>
    <w:rPr>
      <w:rFonts w:ascii="Times New Roman" w:eastAsia="Times New Roman" w:hAnsi="Times New Roman"/>
      <w:w w:val="100"/>
      <w:position w:val="-1"/>
      <w:effect w:val="none"/>
      <w:vertAlign w:val="baseline"/>
      <w:cs w:val="0"/>
      <w:em w:val="none"/>
      <w:lang w:val="en-GB" w:eastAsia="en-US"/>
    </w:rPr>
  </w:style>
  <w:style w:type="paragraph" w:customStyle="1" w:styleId="CommentSubject1">
    <w:name w:val="Comment Subject1"/>
    <w:basedOn w:val="CommentText1"/>
    <w:next w:val="CommentText1"/>
    <w:qFormat/>
    <w:rsid w:val="00397F4F"/>
    <w:rPr>
      <w:b/>
      <w:bCs/>
    </w:rPr>
  </w:style>
  <w:style w:type="character" w:customStyle="1" w:styleId="CommentSubjectChar">
    <w:name w:val="Comment Subject Char"/>
    <w:rsid w:val="00397F4F"/>
    <w:rPr>
      <w:rFonts w:ascii="Times New Roman" w:eastAsia="Times New Roman" w:hAnsi="Times New Roman"/>
      <w:b/>
      <w:bCs/>
      <w:w w:val="100"/>
      <w:position w:val="-1"/>
      <w:effect w:val="none"/>
      <w:vertAlign w:val="baseline"/>
      <w:cs w:val="0"/>
      <w:em w:val="none"/>
      <w:lang w:val="en-GB" w:eastAsia="en-US"/>
    </w:rPr>
  </w:style>
  <w:style w:type="paragraph" w:customStyle="1" w:styleId="m-977164648006108787m-4910342788008605473m-5111254401849703332msonospacing">
    <w:name w:val="m_-977164648006108787m_-4910342788008605473m_-5111254401849703332msonospacing"/>
    <w:basedOn w:val="Normal"/>
    <w:rsid w:val="00397F4F"/>
    <w:pPr>
      <w:suppressAutoHyphens/>
      <w:spacing w:before="100" w:beforeAutospacing="1" w:after="100" w:afterAutospacing="1"/>
      <w:ind w:leftChars="-1" w:left="-1" w:hangingChars="1"/>
      <w:textDirection w:val="btLr"/>
      <w:textAlignment w:val="top"/>
      <w:outlineLvl w:val="0"/>
    </w:pPr>
    <w:rPr>
      <w:rFonts w:eastAsia="Calibri"/>
      <w:position w:val="-1"/>
      <w:sz w:val="24"/>
      <w:szCs w:val="24"/>
      <w:lang w:val="tr-TR"/>
    </w:rPr>
  </w:style>
  <w:style w:type="paragraph" w:customStyle="1" w:styleId="s3">
    <w:name w:val="s3"/>
    <w:basedOn w:val="Normal"/>
    <w:rsid w:val="00397F4F"/>
    <w:pPr>
      <w:suppressAutoHyphens/>
      <w:spacing w:before="100" w:beforeAutospacing="1" w:after="100" w:afterAutospacing="1"/>
      <w:ind w:leftChars="-1" w:left="-1" w:hangingChars="1"/>
      <w:textDirection w:val="btLr"/>
      <w:textAlignment w:val="top"/>
      <w:outlineLvl w:val="0"/>
    </w:pPr>
    <w:rPr>
      <w:rFonts w:eastAsia="Calibri"/>
      <w:position w:val="-1"/>
      <w:sz w:val="24"/>
      <w:szCs w:val="24"/>
      <w:lang w:val="tr-TR"/>
    </w:rPr>
  </w:style>
  <w:style w:type="character" w:customStyle="1" w:styleId="s2">
    <w:name w:val="s2"/>
    <w:rsid w:val="00397F4F"/>
    <w:rPr>
      <w:w w:val="100"/>
      <w:position w:val="-1"/>
      <w:effect w:val="none"/>
      <w:vertAlign w:val="baseline"/>
      <w:cs w:val="0"/>
      <w:em w:val="none"/>
    </w:rPr>
  </w:style>
  <w:style w:type="paragraph" w:styleId="NormalWeb">
    <w:name w:val="Normal (Web)"/>
    <w:basedOn w:val="Normal"/>
    <w:uiPriority w:val="99"/>
    <w:qFormat/>
    <w:rsid w:val="00397F4F"/>
    <w:pPr>
      <w:suppressAutoHyphens/>
      <w:spacing w:before="100" w:beforeAutospacing="1" w:after="100" w:afterAutospacing="1"/>
      <w:ind w:leftChars="-1" w:left="-1" w:hangingChars="1"/>
      <w:textDirection w:val="btLr"/>
      <w:textAlignment w:val="top"/>
      <w:outlineLvl w:val="0"/>
    </w:pPr>
    <w:rPr>
      <w:rFonts w:eastAsia="Calibri"/>
      <w:position w:val="-1"/>
      <w:sz w:val="24"/>
      <w:szCs w:val="24"/>
      <w:lang w:val="tr-TR"/>
    </w:rPr>
  </w:style>
  <w:style w:type="character" w:customStyle="1" w:styleId="ListParagraphChar">
    <w:name w:val="List Paragraph Char"/>
    <w:uiPriority w:val="34"/>
    <w:rsid w:val="00397F4F"/>
    <w:rPr>
      <w:rFonts w:ascii="Times New Roman" w:eastAsia="Times New Roman" w:hAnsi="Times New Roman"/>
      <w:w w:val="100"/>
      <w:position w:val="-1"/>
      <w:sz w:val="22"/>
      <w:effect w:val="none"/>
      <w:vertAlign w:val="baseline"/>
      <w:cs w:val="0"/>
      <w:em w:val="none"/>
      <w:lang w:val="en-GB" w:eastAsia="en-US"/>
    </w:rPr>
  </w:style>
  <w:style w:type="character" w:styleId="CommentReference">
    <w:name w:val="annotation reference"/>
    <w:basedOn w:val="DefaultParagraphFont"/>
    <w:uiPriority w:val="99"/>
    <w:semiHidden/>
    <w:unhideWhenUsed/>
    <w:rsid w:val="00397F4F"/>
    <w:rPr>
      <w:sz w:val="16"/>
      <w:szCs w:val="16"/>
    </w:rPr>
  </w:style>
  <w:style w:type="paragraph" w:styleId="CommentText">
    <w:name w:val="annotation text"/>
    <w:basedOn w:val="Normal"/>
    <w:link w:val="CommentTextChar1"/>
    <w:uiPriority w:val="99"/>
    <w:semiHidden/>
    <w:unhideWhenUsed/>
    <w:rsid w:val="00397F4F"/>
    <w:pPr>
      <w:suppressAutoHyphens/>
      <w:ind w:leftChars="-1" w:left="-1" w:hangingChars="1"/>
      <w:textDirection w:val="btLr"/>
      <w:textAlignment w:val="top"/>
      <w:outlineLvl w:val="0"/>
    </w:pPr>
    <w:rPr>
      <w:position w:val="-1"/>
      <w:sz w:val="20"/>
      <w:szCs w:val="20"/>
      <w:lang w:eastAsia="en-US"/>
    </w:rPr>
  </w:style>
  <w:style w:type="character" w:customStyle="1" w:styleId="CommentTextChar1">
    <w:name w:val="Comment Text Char1"/>
    <w:basedOn w:val="DefaultParagraphFont"/>
    <w:link w:val="CommentText"/>
    <w:uiPriority w:val="99"/>
    <w:semiHidden/>
    <w:rsid w:val="00397F4F"/>
    <w:rPr>
      <w:position w:val="-1"/>
      <w:sz w:val="20"/>
      <w:szCs w:val="20"/>
      <w:lang w:eastAsia="en-US"/>
    </w:rPr>
  </w:style>
  <w:style w:type="paragraph" w:styleId="CommentSubject">
    <w:name w:val="annotation subject"/>
    <w:basedOn w:val="CommentText"/>
    <w:next w:val="CommentText"/>
    <w:link w:val="CommentSubjectChar1"/>
    <w:uiPriority w:val="99"/>
    <w:semiHidden/>
    <w:unhideWhenUsed/>
    <w:rsid w:val="00397F4F"/>
    <w:rPr>
      <w:b/>
      <w:bCs/>
    </w:rPr>
  </w:style>
  <w:style w:type="character" w:customStyle="1" w:styleId="CommentSubjectChar1">
    <w:name w:val="Comment Subject Char1"/>
    <w:basedOn w:val="CommentTextChar1"/>
    <w:link w:val="CommentSubject"/>
    <w:uiPriority w:val="99"/>
    <w:semiHidden/>
    <w:rsid w:val="00397F4F"/>
    <w:rPr>
      <w:b/>
      <w:bCs/>
      <w:position w:val="-1"/>
      <w:sz w:val="20"/>
      <w:szCs w:val="20"/>
      <w:lang w:eastAsia="en-US"/>
    </w:rPr>
  </w:style>
  <w:style w:type="paragraph" w:styleId="Header">
    <w:name w:val="header"/>
    <w:basedOn w:val="Normal"/>
    <w:link w:val="HeaderChar"/>
    <w:uiPriority w:val="99"/>
    <w:unhideWhenUsed/>
    <w:rsid w:val="00397F4F"/>
    <w:pPr>
      <w:tabs>
        <w:tab w:val="center" w:pos="4536"/>
        <w:tab w:val="right" w:pos="9072"/>
      </w:tabs>
      <w:suppressAutoHyphens/>
      <w:ind w:leftChars="-1" w:left="-1" w:hangingChars="1"/>
      <w:textDirection w:val="btLr"/>
      <w:textAlignment w:val="top"/>
      <w:outlineLvl w:val="0"/>
    </w:pPr>
    <w:rPr>
      <w:position w:val="-1"/>
      <w:lang w:eastAsia="en-US"/>
    </w:rPr>
  </w:style>
  <w:style w:type="character" w:customStyle="1" w:styleId="HeaderChar">
    <w:name w:val="Header Char"/>
    <w:basedOn w:val="DefaultParagraphFont"/>
    <w:link w:val="Header"/>
    <w:uiPriority w:val="99"/>
    <w:rsid w:val="00397F4F"/>
    <w:rPr>
      <w:position w:val="-1"/>
      <w:lang w:eastAsia="en-US"/>
    </w:rPr>
  </w:style>
  <w:style w:type="paragraph" w:styleId="Footer">
    <w:name w:val="footer"/>
    <w:basedOn w:val="Normal"/>
    <w:link w:val="FooterChar"/>
    <w:uiPriority w:val="99"/>
    <w:unhideWhenUsed/>
    <w:rsid w:val="00397F4F"/>
    <w:pPr>
      <w:tabs>
        <w:tab w:val="center" w:pos="4536"/>
        <w:tab w:val="right" w:pos="9072"/>
      </w:tabs>
      <w:suppressAutoHyphens/>
      <w:ind w:leftChars="-1" w:left="-1" w:hangingChars="1"/>
      <w:textDirection w:val="btLr"/>
      <w:textAlignment w:val="top"/>
      <w:outlineLvl w:val="0"/>
    </w:pPr>
    <w:rPr>
      <w:position w:val="-1"/>
      <w:lang w:eastAsia="en-US"/>
    </w:rPr>
  </w:style>
  <w:style w:type="character" w:customStyle="1" w:styleId="FooterChar">
    <w:name w:val="Footer Char"/>
    <w:basedOn w:val="DefaultParagraphFont"/>
    <w:link w:val="Footer"/>
    <w:uiPriority w:val="99"/>
    <w:rsid w:val="00397F4F"/>
    <w:rPr>
      <w:position w:val="-1"/>
      <w:lang w:eastAsia="en-US"/>
    </w:rPr>
  </w:style>
  <w:style w:type="paragraph" w:styleId="Revision">
    <w:name w:val="Revision"/>
    <w:hidden/>
    <w:uiPriority w:val="99"/>
    <w:semiHidden/>
    <w:rsid w:val="0017260F"/>
    <w:pPr>
      <w:ind w:firstLine="0"/>
    </w:pPr>
  </w:style>
  <w:style w:type="paragraph" w:styleId="HTMLPreformatted">
    <w:name w:val="HTML Preformatted"/>
    <w:basedOn w:val="Normal"/>
    <w:link w:val="HTMLPreformattedChar"/>
    <w:uiPriority w:val="99"/>
    <w:semiHidden/>
    <w:unhideWhenUsed/>
    <w:rsid w:val="0091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tr-TR"/>
    </w:rPr>
  </w:style>
  <w:style w:type="character" w:customStyle="1" w:styleId="HTMLPreformattedChar">
    <w:name w:val="HTML Preformatted Char"/>
    <w:basedOn w:val="DefaultParagraphFont"/>
    <w:link w:val="HTMLPreformatted"/>
    <w:uiPriority w:val="99"/>
    <w:semiHidden/>
    <w:rsid w:val="00917B41"/>
    <w:rPr>
      <w:rFonts w:ascii="Courier New" w:hAnsi="Courier New" w:cs="Courier New"/>
      <w:sz w:val="20"/>
      <w:szCs w:val="20"/>
      <w:lang w:val="tr-TR"/>
    </w:rPr>
  </w:style>
  <w:style w:type="character" w:customStyle="1" w:styleId="y2iqfc">
    <w:name w:val="y2iqfc"/>
    <w:basedOn w:val="DefaultParagraphFont"/>
    <w:rsid w:val="0091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9563">
      <w:bodyDiv w:val="1"/>
      <w:marLeft w:val="0"/>
      <w:marRight w:val="0"/>
      <w:marTop w:val="0"/>
      <w:marBottom w:val="0"/>
      <w:divBdr>
        <w:top w:val="none" w:sz="0" w:space="0" w:color="auto"/>
        <w:left w:val="none" w:sz="0" w:space="0" w:color="auto"/>
        <w:bottom w:val="none" w:sz="0" w:space="0" w:color="auto"/>
        <w:right w:val="none" w:sz="0" w:space="0" w:color="auto"/>
      </w:divBdr>
    </w:div>
    <w:div w:id="367071836">
      <w:bodyDiv w:val="1"/>
      <w:marLeft w:val="0"/>
      <w:marRight w:val="0"/>
      <w:marTop w:val="0"/>
      <w:marBottom w:val="0"/>
      <w:divBdr>
        <w:top w:val="none" w:sz="0" w:space="0" w:color="auto"/>
        <w:left w:val="none" w:sz="0" w:space="0" w:color="auto"/>
        <w:bottom w:val="none" w:sz="0" w:space="0" w:color="auto"/>
        <w:right w:val="none" w:sz="0" w:space="0" w:color="auto"/>
      </w:divBdr>
    </w:div>
    <w:div w:id="618490005">
      <w:bodyDiv w:val="1"/>
      <w:marLeft w:val="0"/>
      <w:marRight w:val="0"/>
      <w:marTop w:val="0"/>
      <w:marBottom w:val="0"/>
      <w:divBdr>
        <w:top w:val="none" w:sz="0" w:space="0" w:color="auto"/>
        <w:left w:val="none" w:sz="0" w:space="0" w:color="auto"/>
        <w:bottom w:val="none" w:sz="0" w:space="0" w:color="auto"/>
        <w:right w:val="none" w:sz="0" w:space="0" w:color="auto"/>
      </w:divBdr>
    </w:div>
    <w:div w:id="659961706">
      <w:bodyDiv w:val="1"/>
      <w:marLeft w:val="0"/>
      <w:marRight w:val="0"/>
      <w:marTop w:val="0"/>
      <w:marBottom w:val="0"/>
      <w:divBdr>
        <w:top w:val="none" w:sz="0" w:space="0" w:color="auto"/>
        <w:left w:val="none" w:sz="0" w:space="0" w:color="auto"/>
        <w:bottom w:val="none" w:sz="0" w:space="0" w:color="auto"/>
        <w:right w:val="none" w:sz="0" w:space="0" w:color="auto"/>
      </w:divBdr>
    </w:div>
    <w:div w:id="1170751546">
      <w:bodyDiv w:val="1"/>
      <w:marLeft w:val="0"/>
      <w:marRight w:val="0"/>
      <w:marTop w:val="0"/>
      <w:marBottom w:val="0"/>
      <w:divBdr>
        <w:top w:val="none" w:sz="0" w:space="0" w:color="auto"/>
        <w:left w:val="none" w:sz="0" w:space="0" w:color="auto"/>
        <w:bottom w:val="none" w:sz="0" w:space="0" w:color="auto"/>
        <w:right w:val="none" w:sz="0" w:space="0" w:color="auto"/>
      </w:divBdr>
    </w:div>
    <w:div w:id="1423339035">
      <w:bodyDiv w:val="1"/>
      <w:marLeft w:val="0"/>
      <w:marRight w:val="0"/>
      <w:marTop w:val="0"/>
      <w:marBottom w:val="0"/>
      <w:divBdr>
        <w:top w:val="none" w:sz="0" w:space="0" w:color="auto"/>
        <w:left w:val="none" w:sz="0" w:space="0" w:color="auto"/>
        <w:bottom w:val="none" w:sz="0" w:space="0" w:color="auto"/>
        <w:right w:val="none" w:sz="0" w:space="0" w:color="auto"/>
      </w:divBdr>
    </w:div>
    <w:div w:id="195875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ibbvayatirimciiliskiler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p/X5IRXU4PkGdEJqgPYFxPwIw==">AMUW2mWqJebKaZDVxdQ1IwM7n4SCkC62GOj0Ha5+gt6HK6bBUBhf8OH6R9tJvZqUgb+Ye9AryXlriwqNxBLly6wqV559bh98PG6RHp8lm7FoQIg1BIycKTg=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816</Words>
  <Characters>5601</Characters>
  <Application>Microsoft Office Word</Application>
  <DocSecurity>0</DocSecurity>
  <Lines>167</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Gülkız Çakmaktaş</dc:creator>
  <cp:keywords>K-6f0bc80f , N-c5b93c79</cp:keywords>
  <cp:lastModifiedBy>Zerdil Bakan (Investor Relations)</cp:lastModifiedBy>
  <cp:revision>19</cp:revision>
  <dcterms:created xsi:type="dcterms:W3CDTF">2022-04-23T16:16:00Z</dcterms:created>
  <dcterms:modified xsi:type="dcterms:W3CDTF">2022-04-24T09:18:00Z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bef25d7d-654a-4fea-b64d-69f7898f0873</vt:lpwstr>
  </property>
  <property fmtid="{D5CDD505-2E9C-101B-9397-08002B2CF9AE}" pid="3" name="Classification">
    <vt:lpwstr>K-6f0bc80f</vt:lpwstr>
  </property>
  <property fmtid="{D5CDD505-2E9C-101B-9397-08002B2CF9AE}" pid="4" name="KVKK">
    <vt:lpwstr>N-c5b93c79</vt:lpwstr>
  </property>
  <property fmtid="{D5CDD505-2E9C-101B-9397-08002B2CF9AE}" pid="5" name="VisualMarking">
    <vt:lpwstr>ApplyTag</vt:lpwstr>
  </property>
</Properties>
</file>